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7F52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vanish/>
          <w:color w:val="auto"/>
          <w:kern w:val="0"/>
          <w:sz w:val="22"/>
          <w:szCs w:val="22"/>
          <w:lang w:val="en-GB" w:eastAsia="en-GB"/>
        </w:rPr>
        <w:t>1851</w:t>
      </w:r>
    </w:p>
    <w:p w14:paraId="7302291B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Na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112.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tačka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2.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Republike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Srbije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donosim</w:t>
      </w:r>
      <w:proofErr w:type="spellEnd"/>
    </w:p>
    <w:p w14:paraId="34EFD31E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UKAZ</w:t>
      </w:r>
    </w:p>
    <w:p w14:paraId="6F82E55C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proglašenju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izmenama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dopunama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stečaju</w:t>
      </w:r>
      <w:proofErr w:type="spellEnd"/>
    </w:p>
    <w:p w14:paraId="0BA5F4DC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Proglašava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izmenama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dopunama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donela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Narodna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skupština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Republike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Srbije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Šestom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vanrednom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zasedanju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Jedanaestom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sazivu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8.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juna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2018.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godine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78AF47E7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PR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broj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77</w:t>
      </w:r>
    </w:p>
    <w:p w14:paraId="77665AA8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Beogradu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, 8.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juna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2018.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godine</w:t>
      </w:r>
      <w:proofErr w:type="spellEnd"/>
    </w:p>
    <w:p w14:paraId="2CB0D50B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Predsednik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Republike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,</w:t>
      </w:r>
    </w:p>
    <w:p w14:paraId="16E9E423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r w:rsidRPr="00A90063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lang w:val="en-GB" w:eastAsia="en-GB"/>
        </w:rPr>
        <w:t xml:space="preserve">Aleksandar </w:t>
      </w:r>
      <w:proofErr w:type="spellStart"/>
      <w:r w:rsidRPr="00A90063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lang w:val="en-GB" w:eastAsia="en-GB"/>
        </w:rPr>
        <w:t>Vučić</w:t>
      </w:r>
      <w:proofErr w:type="spellEnd"/>
      <w:r w:rsidRPr="00A90063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s.r.</w:t>
      </w:r>
      <w:proofErr w:type="spellEnd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A90063" w:rsidRPr="00A90063" w14:paraId="69E598B3" w14:textId="77777777" w:rsidTr="00A9006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25E1BDBA" w14:textId="77777777" w:rsidR="00A90063" w:rsidRPr="00A90063" w:rsidRDefault="00A90063" w:rsidP="00A9006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</w:pPr>
            <w:r w:rsidRPr="00A900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  <w:t>ZAKON</w:t>
            </w:r>
            <w:bookmarkStart w:id="0" w:name="_GoBack"/>
            <w:bookmarkEnd w:id="0"/>
          </w:p>
          <w:p w14:paraId="60384616" w14:textId="77777777" w:rsidR="00A90063" w:rsidRPr="00A90063" w:rsidRDefault="00A90063" w:rsidP="00A9006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en-GB" w:eastAsia="en-GB"/>
              </w:rPr>
            </w:pPr>
            <w:r w:rsidRPr="00A900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  <w:t xml:space="preserve">o </w:t>
            </w:r>
            <w:proofErr w:type="spellStart"/>
            <w:r w:rsidRPr="00A900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  <w:t>izmenama</w:t>
            </w:r>
            <w:proofErr w:type="spellEnd"/>
            <w:r w:rsidRPr="00A900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A900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  <w:t>i</w:t>
            </w:r>
            <w:proofErr w:type="spellEnd"/>
            <w:r w:rsidRPr="00A900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A900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  <w:t>dopunama</w:t>
            </w:r>
            <w:proofErr w:type="spellEnd"/>
            <w:r w:rsidRPr="00A900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A900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  <w:t>Zakona</w:t>
            </w:r>
            <w:proofErr w:type="spellEnd"/>
            <w:r w:rsidRPr="00A900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  <w:t xml:space="preserve"> o </w:t>
            </w:r>
            <w:proofErr w:type="spellStart"/>
            <w:r w:rsidRPr="00A900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8"/>
                <w:szCs w:val="28"/>
                <w:lang w:val="en-GB" w:eastAsia="en-GB"/>
              </w:rPr>
              <w:t>stečaju</w:t>
            </w:r>
            <w:proofErr w:type="spellEnd"/>
          </w:p>
        </w:tc>
      </w:tr>
    </w:tbl>
    <w:p w14:paraId="281FFBA5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1.</w:t>
      </w:r>
    </w:p>
    <w:p w14:paraId="6E05C301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(„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Službeni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glasnik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RSˮ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br. 104/09, 99/11 –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dr.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71/12 – US, 83/14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113/17),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posle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14.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dodaje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14a,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:</w:t>
      </w:r>
    </w:p>
    <w:p w14:paraId="6E16E3F0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„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14a</w:t>
      </w:r>
    </w:p>
    <w:p w14:paraId="7F3361A6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Prava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obaveze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zaključen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skladu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uključujući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davanje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sticanje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promenu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realizaciju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sredstva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izvršavaju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nesmetano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bez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obzira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pokretanje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otvaranje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sprovođenje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postupka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nad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dužnikom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–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davaocem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ili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primaocem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sredstva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71361A0F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Odredba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shodno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ostvarivanje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netiranje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drugih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finansijskih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43929BEC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Na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poverilaca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sredstava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ne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ovaj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6A748AEB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Na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poverilaca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3.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obezbeđenje.ˮ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14023F94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2.</w:t>
      </w:r>
    </w:p>
    <w:p w14:paraId="354DBAF4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Posle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50.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dodaju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naziv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iznad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50a,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: </w:t>
      </w:r>
    </w:p>
    <w:p w14:paraId="0209E03C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„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Poverioci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su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primaoci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finansijskog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obezbeđenja</w:t>
      </w:r>
      <w:proofErr w:type="spellEnd"/>
    </w:p>
    <w:p w14:paraId="4FEC1D1C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50a</w:t>
      </w:r>
    </w:p>
    <w:p w14:paraId="3025A7AC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lastRenderedPageBreak/>
        <w:t>Poverioci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imaju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založno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pravo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skladu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čije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drugi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način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nisu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stečajni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poverioci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razlučni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poverioci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založni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poverioci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izlučni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poverioci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. </w:t>
      </w:r>
    </w:p>
    <w:p w14:paraId="2F9E3C90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Izuzetno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od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ako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iznos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poverilaca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primaoci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veći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iznosa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vrednosti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ostvarene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poverioci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pravo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za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razliku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visini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tih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iznosa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ostvaruju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kao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stečajni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poverioci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skladu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64863A4D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Poverioci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čije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dužniku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dužni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da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nadležni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sud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obaveste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roku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od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osam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dana od dana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izvršeno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dan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otvaranja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postupka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ili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nakon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tog dana,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toku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postupka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. </w:t>
      </w:r>
    </w:p>
    <w:p w14:paraId="0C777B96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Obaveštenje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3.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naročito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sadrži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sledeće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podatke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: </w:t>
      </w:r>
    </w:p>
    <w:p w14:paraId="5ECCD446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1)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poslovno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ime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sedište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matični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broj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poverioca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kontakt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adresom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; </w:t>
      </w:r>
    </w:p>
    <w:p w14:paraId="72F876C4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2)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broj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novčanog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računa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računa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finansijskih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instrumenata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izvršeno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; </w:t>
      </w:r>
    </w:p>
    <w:p w14:paraId="40F12847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3)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identifikuje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kreditno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izvršeno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; </w:t>
      </w:r>
    </w:p>
    <w:p w14:paraId="7EA2F4FF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4)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ukupan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iznos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(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glavnica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kamata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),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podacima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nenamirenom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iznosu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(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glavnica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kamata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); </w:t>
      </w:r>
    </w:p>
    <w:p w14:paraId="4C9DC63C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5) datum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; </w:t>
      </w:r>
    </w:p>
    <w:p w14:paraId="5BCABF57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6)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pravni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naziv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datumom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zaključivanja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; </w:t>
      </w:r>
    </w:p>
    <w:p w14:paraId="0C1B5AC1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7) o tome da li se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vodi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parnica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ako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vodi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naziv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suda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oznaku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spisa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. </w:t>
      </w:r>
    </w:p>
    <w:p w14:paraId="1075520B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Ako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nakon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poverioca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skladu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preostala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vrednost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sredstva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imovine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dužnika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date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imovinu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dužnika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preduzimanje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radnji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upravnika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vezi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 tom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imovinom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odredbe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. </w:t>
      </w:r>
    </w:p>
    <w:p w14:paraId="7FD91EBF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Odredbe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st.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2–5.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shodno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poverioce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svoje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celosti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ili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delimično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namirili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netiranjem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drugog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obezbeđenje.ˮ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477D92C7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3.</w:t>
      </w:r>
    </w:p>
    <w:p w14:paraId="3774ACD7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62.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posle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9.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dodaje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10,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:</w:t>
      </w:r>
    </w:p>
    <w:p w14:paraId="12179810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„Mere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ne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mogu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odrediti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sredstva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računu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imovinu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dužnika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primaocu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data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obezbeđenje.ˮ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2E315D21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4.</w:t>
      </w:r>
    </w:p>
    <w:p w14:paraId="36CE811F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lastRenderedPageBreak/>
        <w:t xml:space="preserve">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79.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posle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4.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dodaje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5,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:</w:t>
      </w:r>
    </w:p>
    <w:p w14:paraId="2B3C5CB4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„Na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sredstva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računu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dužnika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čine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sredstvo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ne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odredbe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st.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2.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4.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člana.ˮ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45BD2215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5.</w:t>
      </w:r>
    </w:p>
    <w:p w14:paraId="03D15E6B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82.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3.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menja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:</w:t>
      </w:r>
    </w:p>
    <w:p w14:paraId="121FD9BC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„Na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netiranje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prevremenog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dospeća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ili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prestanka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obaveza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(</w:t>
      </w:r>
      <w:r w:rsidRPr="00A90063">
        <w:rPr>
          <w:rFonts w:ascii="Arial" w:eastAsia="Times New Roman" w:hAnsi="Arial" w:cs="Arial"/>
          <w:i/>
          <w:iCs/>
          <w:color w:val="auto"/>
          <w:kern w:val="0"/>
          <w:sz w:val="20"/>
          <w:szCs w:val="20"/>
          <w:lang w:val="en-GB" w:eastAsia="en-GB"/>
        </w:rPr>
        <w:t>close-out netting</w:t>
      </w: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)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drugih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finansijskih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odredbe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zakona.ˮ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6AF0B0E0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4.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briše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se.</w:t>
      </w:r>
    </w:p>
    <w:p w14:paraId="2EBE6854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6.</w:t>
      </w:r>
    </w:p>
    <w:p w14:paraId="59B5282B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94.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posle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5.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dodaju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st.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6.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7,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:</w:t>
      </w:r>
    </w:p>
    <w:p w14:paraId="15D2E8AB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„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Odredbe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ne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čiji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predmet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obaveza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čije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izvršenje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ako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ugovorima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predviđeno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da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postojanje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razloga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podnošenje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predloga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za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pokretanje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postupka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ili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otvaranje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postupka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predstavlja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automatski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za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raskid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ili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za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raskid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zahtev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saugovarača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dužnika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5734A2F0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Odredbe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6.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shodno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druge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a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vezi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netiranjem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skladu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zakonom.ˮ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195BC195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7.</w:t>
      </w:r>
    </w:p>
    <w:p w14:paraId="701E3649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96.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posle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2.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dodaju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st.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3.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4,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:</w:t>
      </w:r>
    </w:p>
    <w:p w14:paraId="52158175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„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Odredbe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ne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čiji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predmet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obaveza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čije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izvršenje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. </w:t>
      </w:r>
    </w:p>
    <w:p w14:paraId="1E1457EC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Odredbe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3.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shodno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druge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a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vezi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netiranjem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skladu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zakonom.ˮ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0D7DBA3A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8.</w:t>
      </w:r>
    </w:p>
    <w:p w14:paraId="2B5DED1B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126.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3.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tačka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2)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menja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:</w:t>
      </w:r>
    </w:p>
    <w:p w14:paraId="4D5DFAD3" w14:textId="241489CD" w:rsid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„2)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čiji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predmet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obaveza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čije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izvršenje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kao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drugog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a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vezi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netiranjem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skladu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tim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zakonom;ˮ</w:t>
      </w:r>
      <w:proofErr w:type="spellEnd"/>
      <w:proofErr w:type="gram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. </w:t>
      </w:r>
    </w:p>
    <w:p w14:paraId="42F752F7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</w:p>
    <w:p w14:paraId="296C5E93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lastRenderedPageBreak/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9.</w:t>
      </w:r>
    </w:p>
    <w:p w14:paraId="3D74F2C9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157.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posle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5.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dodaje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6,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:</w:t>
      </w:r>
    </w:p>
    <w:p w14:paraId="4A92EA80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„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Sprovođenje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mera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predviđenih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planom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reorganizacije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ne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može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vršiti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suprotno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odredbama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obezbeđenje.ˮ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013B1668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10.</w:t>
      </w:r>
    </w:p>
    <w:p w14:paraId="52D74874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159b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posle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9.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dodaje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10,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:</w:t>
      </w:r>
    </w:p>
    <w:p w14:paraId="28037E95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„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Mera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3.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ne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može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odrediti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sredstva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računu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imovinu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stečajnog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dužnika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je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primaocu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data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smislu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obezbeđenje.ˮ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291BE369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11.</w:t>
      </w:r>
    </w:p>
    <w:p w14:paraId="2DEFFF59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Posle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206.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dodaju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naziv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odeljka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naziv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iznad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206a,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:</w:t>
      </w:r>
    </w:p>
    <w:p w14:paraId="6B23C8C1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„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Prekršaji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mere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novčane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kazne</w:t>
      </w:r>
      <w:proofErr w:type="spellEnd"/>
    </w:p>
    <w:p w14:paraId="56D982A2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Neobaveštavanje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drugih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finansijskih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</w:p>
    <w:p w14:paraId="717557B1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206a</w:t>
      </w:r>
    </w:p>
    <w:p w14:paraId="3DB20F25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Novčanom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kaznom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od 100.000 do 2.000.000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dinara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kazniće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za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prekršaj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pravno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lice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ako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nadležni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sud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ne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obavesti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namirenju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potraživanja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osnovu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obezbeđenju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drugog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finansijskog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ugovora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putem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netiranja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(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50a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st.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3.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6). </w:t>
      </w:r>
    </w:p>
    <w:p w14:paraId="72FBE35E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Za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radnje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kazniće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odgovorno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lice u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pravnom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licu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novčanom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kaznom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od 20.000 do 150.000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dinara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444E80B0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Za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radnje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stava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1.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člana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Narodna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banka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Srbije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izriče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mere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novčane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kazne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subjektima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nad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čijim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poslovanjem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vrši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kontrolu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nadzor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prema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posebnim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zakonima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uređuju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njena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kontrolna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odnosno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nadzorna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ovlašćenja.ˮ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.</w:t>
      </w:r>
    </w:p>
    <w:p w14:paraId="12ABBD60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12.</w:t>
      </w:r>
    </w:p>
    <w:p w14:paraId="618CD2C1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Stečajni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postupci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do dana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početka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nisu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okončani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okončaće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po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propisima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koji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bili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snazi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do dana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početka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. </w:t>
      </w:r>
    </w:p>
    <w:p w14:paraId="727E2FDE" w14:textId="31D3C40A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>Član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0"/>
          <w:szCs w:val="20"/>
          <w:lang w:val="en-GB" w:eastAsia="en-GB"/>
        </w:rPr>
        <w:t xml:space="preserve"> 13.</w:t>
      </w:r>
    </w:p>
    <w:p w14:paraId="6DFF5E38" w14:textId="77777777" w:rsidR="00A90063" w:rsidRPr="00A90063" w:rsidRDefault="00A90063" w:rsidP="00A9006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</w:pP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Ovaj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zakon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stupa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na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snagu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osmog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dana od dana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objavljivanja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u „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Službenom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glasniku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Republike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Srbijeˮ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, a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primenjuje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se od 1.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januara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 2019. </w:t>
      </w:r>
      <w:proofErr w:type="spellStart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>godine</w:t>
      </w:r>
      <w:proofErr w:type="spellEnd"/>
      <w:r w:rsidRPr="00A90063">
        <w:rPr>
          <w:rFonts w:ascii="Arial" w:eastAsia="Times New Roman" w:hAnsi="Arial" w:cs="Arial"/>
          <w:color w:val="auto"/>
          <w:kern w:val="0"/>
          <w:sz w:val="22"/>
          <w:szCs w:val="22"/>
          <w:lang w:val="en-GB" w:eastAsia="en-GB"/>
        </w:rPr>
        <w:t xml:space="preserve">. </w:t>
      </w:r>
    </w:p>
    <w:p w14:paraId="4420EF1A" w14:textId="64404F36" w:rsidR="00AA62FB" w:rsidRPr="00142238" w:rsidRDefault="00AA62FB" w:rsidP="00A90063">
      <w:pPr>
        <w:jc w:val="both"/>
      </w:pPr>
    </w:p>
    <w:sectPr w:rsidR="00AA62FB" w:rsidRPr="00142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9AFF5" w14:textId="77777777" w:rsidR="00103797" w:rsidRDefault="00103797" w:rsidP="00CC7DB2">
      <w:pPr>
        <w:spacing w:line="240" w:lineRule="auto"/>
      </w:pPr>
      <w:r>
        <w:separator/>
      </w:r>
    </w:p>
  </w:endnote>
  <w:endnote w:type="continuationSeparator" w:id="0">
    <w:p w14:paraId="4C5B5C68" w14:textId="77777777" w:rsidR="00103797" w:rsidRDefault="00103797" w:rsidP="00CC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20E6" w14:textId="77777777" w:rsidR="00103797" w:rsidRDefault="00103797" w:rsidP="00CC7DB2">
      <w:pPr>
        <w:spacing w:line="240" w:lineRule="auto"/>
      </w:pPr>
      <w:r>
        <w:separator/>
      </w:r>
    </w:p>
  </w:footnote>
  <w:footnote w:type="continuationSeparator" w:id="0">
    <w:p w14:paraId="427E4970" w14:textId="77777777" w:rsidR="00103797" w:rsidRDefault="00103797" w:rsidP="00CC7D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13205CB"/>
    <w:multiLevelType w:val="hybridMultilevel"/>
    <w:tmpl w:val="08E0C7E2"/>
    <w:lvl w:ilvl="0" w:tplc="E7E004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015FDD"/>
    <w:multiLevelType w:val="multilevel"/>
    <w:tmpl w:val="D440538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6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  <w:b/>
        <w:bCs/>
      </w:rPr>
    </w:lvl>
  </w:abstractNum>
  <w:abstractNum w:abstractNumId="6" w15:restartNumberingAfterBreak="0">
    <w:nsid w:val="09227C0F"/>
    <w:multiLevelType w:val="hybridMultilevel"/>
    <w:tmpl w:val="D152AEDC"/>
    <w:lvl w:ilvl="0" w:tplc="AEBC0216">
      <w:start w:val="1"/>
      <w:numFmt w:val="decimal"/>
      <w:lvlText w:val="%1)"/>
      <w:lvlJc w:val="left"/>
      <w:pPr>
        <w:ind w:left="1308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2028" w:hanging="360"/>
      </w:pPr>
    </w:lvl>
    <w:lvl w:ilvl="2" w:tplc="0409001B">
      <w:start w:val="1"/>
      <w:numFmt w:val="lowerRoman"/>
      <w:lvlText w:val="%3."/>
      <w:lvlJc w:val="right"/>
      <w:pPr>
        <w:ind w:left="2748" w:hanging="180"/>
      </w:pPr>
    </w:lvl>
    <w:lvl w:ilvl="3" w:tplc="0409000F">
      <w:start w:val="1"/>
      <w:numFmt w:val="decimal"/>
      <w:lvlText w:val="%4."/>
      <w:lvlJc w:val="left"/>
      <w:pPr>
        <w:ind w:left="3468" w:hanging="360"/>
      </w:pPr>
    </w:lvl>
    <w:lvl w:ilvl="4" w:tplc="04090019">
      <w:start w:val="1"/>
      <w:numFmt w:val="lowerLetter"/>
      <w:lvlText w:val="%5."/>
      <w:lvlJc w:val="left"/>
      <w:pPr>
        <w:ind w:left="4188" w:hanging="360"/>
      </w:pPr>
    </w:lvl>
    <w:lvl w:ilvl="5" w:tplc="0409001B">
      <w:start w:val="1"/>
      <w:numFmt w:val="lowerRoman"/>
      <w:lvlText w:val="%6."/>
      <w:lvlJc w:val="right"/>
      <w:pPr>
        <w:ind w:left="4908" w:hanging="180"/>
      </w:pPr>
    </w:lvl>
    <w:lvl w:ilvl="6" w:tplc="0409000F">
      <w:start w:val="1"/>
      <w:numFmt w:val="decimal"/>
      <w:lvlText w:val="%7."/>
      <w:lvlJc w:val="left"/>
      <w:pPr>
        <w:ind w:left="5628" w:hanging="360"/>
      </w:pPr>
    </w:lvl>
    <w:lvl w:ilvl="7" w:tplc="04090019">
      <w:start w:val="1"/>
      <w:numFmt w:val="lowerLetter"/>
      <w:lvlText w:val="%8."/>
      <w:lvlJc w:val="left"/>
      <w:pPr>
        <w:ind w:left="6348" w:hanging="360"/>
      </w:pPr>
    </w:lvl>
    <w:lvl w:ilvl="8" w:tplc="0409001B">
      <w:start w:val="1"/>
      <w:numFmt w:val="lowerRoman"/>
      <w:lvlText w:val="%9."/>
      <w:lvlJc w:val="right"/>
      <w:pPr>
        <w:ind w:left="7068" w:hanging="180"/>
      </w:pPr>
    </w:lvl>
  </w:abstractNum>
  <w:abstractNum w:abstractNumId="7" w15:restartNumberingAfterBreak="0">
    <w:nsid w:val="1949449E"/>
    <w:multiLevelType w:val="hybridMultilevel"/>
    <w:tmpl w:val="6ECE5430"/>
    <w:lvl w:ilvl="0" w:tplc="FF5E6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7517A"/>
    <w:multiLevelType w:val="multilevel"/>
    <w:tmpl w:val="F00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C24C9"/>
    <w:multiLevelType w:val="hybridMultilevel"/>
    <w:tmpl w:val="C40EFAE2"/>
    <w:lvl w:ilvl="0" w:tplc="8E38926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8E7CF3"/>
    <w:multiLevelType w:val="hybridMultilevel"/>
    <w:tmpl w:val="BB94B376"/>
    <w:lvl w:ilvl="0" w:tplc="8E38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B1BD0"/>
    <w:multiLevelType w:val="hybridMultilevel"/>
    <w:tmpl w:val="0F70B0FE"/>
    <w:lvl w:ilvl="0" w:tplc="AA8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B3D18"/>
    <w:multiLevelType w:val="hybridMultilevel"/>
    <w:tmpl w:val="F7C2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F5A5F"/>
    <w:multiLevelType w:val="hybridMultilevel"/>
    <w:tmpl w:val="4B0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4B1BF8"/>
    <w:multiLevelType w:val="hybridMultilevel"/>
    <w:tmpl w:val="9D14720E"/>
    <w:lvl w:ilvl="0" w:tplc="8E3892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535E6F"/>
    <w:multiLevelType w:val="hybridMultilevel"/>
    <w:tmpl w:val="AED81CB2"/>
    <w:lvl w:ilvl="0" w:tplc="4192D8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7332870"/>
    <w:multiLevelType w:val="multilevel"/>
    <w:tmpl w:val="7F569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 w:val="0"/>
        <w:color w:val="auto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bCs w:val="0"/>
        <w:i w:val="0"/>
        <w:iCs w:val="0"/>
      </w:rPr>
    </w:lvl>
  </w:abstractNum>
  <w:abstractNum w:abstractNumId="17" w15:restartNumberingAfterBreak="0">
    <w:nsid w:val="79E506E9"/>
    <w:multiLevelType w:val="multilevel"/>
    <w:tmpl w:val="B5C4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B17597"/>
    <w:multiLevelType w:val="hybridMultilevel"/>
    <w:tmpl w:val="2D3C9CF0"/>
    <w:lvl w:ilvl="0" w:tplc="3014BA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7"/>
  </w:num>
  <w:num w:numId="5">
    <w:abstractNumId w:val="8"/>
  </w:num>
  <w:num w:numId="6">
    <w:abstractNumId w:val="0"/>
  </w:num>
  <w:num w:numId="7">
    <w:abstractNumId w:val="18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EF"/>
    <w:rsid w:val="000165A8"/>
    <w:rsid w:val="000C19B2"/>
    <w:rsid w:val="000C2815"/>
    <w:rsid w:val="000E1A82"/>
    <w:rsid w:val="000E65D6"/>
    <w:rsid w:val="000F1FAE"/>
    <w:rsid w:val="00103797"/>
    <w:rsid w:val="00104F87"/>
    <w:rsid w:val="00142238"/>
    <w:rsid w:val="001735E1"/>
    <w:rsid w:val="001B1548"/>
    <w:rsid w:val="001B2C8A"/>
    <w:rsid w:val="001C35FA"/>
    <w:rsid w:val="001C5C9D"/>
    <w:rsid w:val="002026A3"/>
    <w:rsid w:val="002C533A"/>
    <w:rsid w:val="002F76D6"/>
    <w:rsid w:val="00325AEA"/>
    <w:rsid w:val="0037016A"/>
    <w:rsid w:val="0039506F"/>
    <w:rsid w:val="003D56D1"/>
    <w:rsid w:val="00412857"/>
    <w:rsid w:val="004C44B6"/>
    <w:rsid w:val="0051136D"/>
    <w:rsid w:val="005223FA"/>
    <w:rsid w:val="0057479C"/>
    <w:rsid w:val="005F4DE8"/>
    <w:rsid w:val="0066703D"/>
    <w:rsid w:val="006C3533"/>
    <w:rsid w:val="006D2729"/>
    <w:rsid w:val="0071373F"/>
    <w:rsid w:val="00775DEF"/>
    <w:rsid w:val="007B6A3C"/>
    <w:rsid w:val="007D3191"/>
    <w:rsid w:val="007F418D"/>
    <w:rsid w:val="00871FCE"/>
    <w:rsid w:val="00897570"/>
    <w:rsid w:val="008A06D9"/>
    <w:rsid w:val="008B25BA"/>
    <w:rsid w:val="008C345B"/>
    <w:rsid w:val="00950752"/>
    <w:rsid w:val="00967AA8"/>
    <w:rsid w:val="009B27B7"/>
    <w:rsid w:val="009C4CF9"/>
    <w:rsid w:val="009D5A4D"/>
    <w:rsid w:val="009E2C83"/>
    <w:rsid w:val="00A90063"/>
    <w:rsid w:val="00A947FE"/>
    <w:rsid w:val="00AA62FB"/>
    <w:rsid w:val="00B2387A"/>
    <w:rsid w:val="00B323BF"/>
    <w:rsid w:val="00B8020E"/>
    <w:rsid w:val="00B9117F"/>
    <w:rsid w:val="00B9236B"/>
    <w:rsid w:val="00BA3E8F"/>
    <w:rsid w:val="00BD4DC0"/>
    <w:rsid w:val="00BE715D"/>
    <w:rsid w:val="00C31673"/>
    <w:rsid w:val="00C37463"/>
    <w:rsid w:val="00C6613A"/>
    <w:rsid w:val="00CB72BD"/>
    <w:rsid w:val="00CC45B8"/>
    <w:rsid w:val="00CC7DB2"/>
    <w:rsid w:val="00CF6729"/>
    <w:rsid w:val="00D61C32"/>
    <w:rsid w:val="00D72842"/>
    <w:rsid w:val="00DD200D"/>
    <w:rsid w:val="00DF0F92"/>
    <w:rsid w:val="00E42EDC"/>
    <w:rsid w:val="00E6333E"/>
    <w:rsid w:val="00EC543C"/>
    <w:rsid w:val="00F2651B"/>
    <w:rsid w:val="00F279D6"/>
    <w:rsid w:val="00F75BF1"/>
    <w:rsid w:val="00F7693E"/>
    <w:rsid w:val="00F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3AA0"/>
  <w15:chartTrackingRefBased/>
  <w15:docId w15:val="{1577FE8B-EB4E-4D01-9401-68A66BF7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00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6703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6703D"/>
    <w:pPr>
      <w:keepNext/>
      <w:numPr>
        <w:ilvl w:val="1"/>
        <w:numId w:val="6"/>
      </w:numPr>
      <w:ind w:left="1143"/>
      <w:jc w:val="center"/>
      <w:outlineLvl w:val="1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66703D"/>
    <w:pPr>
      <w:keepNext/>
      <w:numPr>
        <w:ilvl w:val="2"/>
        <w:numId w:val="6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66703D"/>
    <w:pPr>
      <w:keepNext/>
      <w:numPr>
        <w:ilvl w:val="3"/>
        <w:numId w:val="6"/>
      </w:numPr>
      <w:jc w:val="center"/>
      <w:outlineLvl w:val="3"/>
    </w:pPr>
    <w:rPr>
      <w:rFonts w:ascii="Book Antiqua" w:eastAsia="Times New Roman" w:hAnsi="Book Antiqua" w:cs="Book Antiqua"/>
      <w:b/>
      <w:bCs/>
      <w:sz w:val="28"/>
      <w:szCs w:val="28"/>
      <w:u w:val="single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6703D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66703D"/>
    <w:pPr>
      <w:keepNext/>
      <w:numPr>
        <w:ilvl w:val="5"/>
        <w:numId w:val="6"/>
      </w:numPr>
      <w:outlineLvl w:val="5"/>
    </w:pPr>
    <w:rPr>
      <w:rFonts w:ascii="Book Antiqua" w:eastAsia="Times New Roman" w:hAnsi="Book Antiqua" w:cs="Book Antiqua"/>
      <w:sz w:val="28"/>
      <w:szCs w:val="28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66703D"/>
    <w:pPr>
      <w:keepNext/>
      <w:numPr>
        <w:ilvl w:val="6"/>
        <w:numId w:val="6"/>
      </w:numPr>
      <w:outlineLvl w:val="6"/>
    </w:pPr>
    <w:rPr>
      <w:rFonts w:ascii="Book Antiqua" w:eastAsia="Times New Roman" w:hAnsi="Book Antiqua" w:cs="Book Antiqua"/>
      <w:b/>
      <w:bCs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66703D"/>
    <w:pPr>
      <w:keepNext/>
      <w:numPr>
        <w:ilvl w:val="7"/>
        <w:numId w:val="6"/>
      </w:numPr>
      <w:jc w:val="both"/>
      <w:outlineLvl w:val="7"/>
    </w:pPr>
    <w:rPr>
      <w:rFonts w:eastAsia="Times New Roman"/>
      <w:b/>
      <w:bCs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66703D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16A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3D56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7D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C7DB2"/>
  </w:style>
  <w:style w:type="paragraph" w:styleId="Footer">
    <w:name w:val="footer"/>
    <w:basedOn w:val="Normal"/>
    <w:link w:val="FooterChar"/>
    <w:uiPriority w:val="99"/>
    <w:unhideWhenUsed/>
    <w:rsid w:val="00CC7D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B2"/>
  </w:style>
  <w:style w:type="paragraph" w:customStyle="1" w:styleId="Default">
    <w:name w:val="Default"/>
    <w:rsid w:val="00104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6703D"/>
    <w:rPr>
      <w:rFonts w:ascii="Cambria" w:eastAsia="Arial Unicode MS" w:hAnsi="Cambria" w:cs="Cambria"/>
      <w:b/>
      <w:bCs/>
      <w:color w:val="365F91"/>
      <w:kern w:val="1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66703D"/>
    <w:rPr>
      <w:rFonts w:ascii="Book Antiqua" w:eastAsia="Times New Roman" w:hAnsi="Book Antiqua" w:cs="Book Antiqua"/>
      <w:b/>
      <w:bCs/>
      <w:color w:val="000000"/>
      <w:kern w:val="1"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66703D"/>
    <w:rPr>
      <w:rFonts w:ascii="Arial" w:eastAsia="Times New Roman" w:hAnsi="Arial" w:cs="Arial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66703D"/>
    <w:rPr>
      <w:rFonts w:ascii="Book Antiqua" w:eastAsia="Times New Roman" w:hAnsi="Book Antiqua" w:cs="Book Antiqua"/>
      <w:b/>
      <w:bCs/>
      <w:color w:val="000000"/>
      <w:kern w:val="1"/>
      <w:sz w:val="28"/>
      <w:szCs w:val="28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66703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66703D"/>
    <w:rPr>
      <w:rFonts w:ascii="Book Antiqua" w:eastAsia="Times New Roman" w:hAnsi="Book Antiqua" w:cs="Book Antiqua"/>
      <w:color w:val="000000"/>
      <w:kern w:val="1"/>
      <w:sz w:val="28"/>
      <w:szCs w:val="28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66703D"/>
    <w:rPr>
      <w:rFonts w:ascii="Book Antiqua" w:eastAsia="Times New Roman" w:hAnsi="Book Antiqua" w:cs="Book Antiqua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66703D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66703D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6670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703D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yiv3142758347">
    <w:name w:val="yiv3142758347"/>
    <w:basedOn w:val="DefaultParagraphFont"/>
    <w:uiPriority w:val="99"/>
    <w:rsid w:val="001B2C8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1B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ntStyle35">
    <w:name w:val="Font Style35"/>
    <w:rsid w:val="00F2651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rsid w:val="00F2651B"/>
    <w:pPr>
      <w:widowControl w:val="0"/>
      <w:suppressAutoHyphens w:val="0"/>
      <w:autoSpaceDE w:val="0"/>
      <w:autoSpaceDN w:val="0"/>
      <w:adjustRightInd w:val="0"/>
      <w:spacing w:line="278" w:lineRule="exact"/>
      <w:ind w:firstLine="720"/>
      <w:jc w:val="both"/>
    </w:pPr>
    <w:rPr>
      <w:rFonts w:eastAsia="Times New Roman"/>
      <w:color w:val="auto"/>
      <w:kern w:val="0"/>
      <w:lang w:eastAsia="en-US"/>
    </w:rPr>
  </w:style>
  <w:style w:type="character" w:customStyle="1" w:styleId="FontStyle18">
    <w:name w:val="Font Style18"/>
    <w:rsid w:val="00F2651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Normal"/>
    <w:rsid w:val="00F2651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kern w:val="0"/>
      <w:lang w:eastAsia="en-US"/>
    </w:rPr>
  </w:style>
  <w:style w:type="character" w:customStyle="1" w:styleId="FontStyle19">
    <w:name w:val="Font Style19"/>
    <w:rsid w:val="00F265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BN. Nakic</dc:creator>
  <cp:keywords/>
  <dc:description/>
  <cp:lastModifiedBy>Brankica BN. Nakic</cp:lastModifiedBy>
  <cp:revision>2</cp:revision>
  <dcterms:created xsi:type="dcterms:W3CDTF">2018-07-26T09:22:00Z</dcterms:created>
  <dcterms:modified xsi:type="dcterms:W3CDTF">2018-07-26T09:22:00Z</dcterms:modified>
</cp:coreProperties>
</file>