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88415555"/>
        <w:docPartObj>
          <w:docPartGallery w:val="Cover Pages"/>
          <w:docPartUnique/>
        </w:docPartObj>
      </w:sdtPr>
      <w:sdtEndPr/>
      <w:sdtContent>
        <w:p w:rsidR="00203BCC" w:rsidRDefault="000946AE">
          <w:pPr>
            <w:pStyle w:val="Logo"/>
          </w:pPr>
          <w:sdt>
            <w:sdtPr>
              <w:alias w:val="Click icon at right to replace logo"/>
              <w:tag w:val="Click icon at right to replace logo"/>
              <w:id w:val="-2090688503"/>
              <w:picture/>
            </w:sdtPr>
            <w:sdtEndPr/>
            <w:sdtContent>
              <w:r w:rsidR="007F4277">
                <w:rPr>
                  <w:noProof/>
                  <w:lang w:eastAsia="en-US"/>
                </w:rPr>
                <w:drawing>
                  <wp:inline distT="0" distB="0" distL="0" distR="0">
                    <wp:extent cx="2077517" cy="746087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476" cy="786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7F4277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46464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5943600" cy="621792"/>
                    <wp:effectExtent l="0" t="0" r="0" b="6985"/>
                    <wp:wrapTopAndBottom/>
                    <wp:docPr id="1" name="Text Box 1" descr="Text box displaying 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621792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54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mpany contact information"/>
                                </w:tblPr>
                                <w:tblGrid>
                                  <w:gridCol w:w="4305"/>
                                  <w:gridCol w:w="21"/>
                                  <w:gridCol w:w="1964"/>
                                  <w:gridCol w:w="21"/>
                                  <w:gridCol w:w="2616"/>
                                </w:tblGrid>
                                <w:tr w:rsidR="00132739" w:rsidTr="00C66C50">
                                  <w:sdt>
                                    <w:sdtPr>
                                      <w:alias w:val="Address"/>
                                      <w:tag w:val=""/>
                                      <w:id w:val="-640814801"/>
                                      <w:placeholder>
                                        <w:docPart w:val="41CC79673A16430183C2CFB2D4ED28E6"/>
                                      </w:placeholder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2411" w:type="pct"/>
                                        </w:tcPr>
                                        <w:p w:rsidR="00132739" w:rsidRDefault="00132739" w:rsidP="008F6952">
                                          <w:pPr>
                                            <w:pStyle w:val="ContactInfo"/>
                                          </w:pPr>
                                          <w:r>
                                            <w:rPr>
                                              <w:lang w:val="sr-Cyrl-RS"/>
                                            </w:rPr>
                                            <w:t>Агенција за лиценцирање стечајних управника</w:t>
                                          </w:r>
                                          <w:r>
                                            <w:rPr>
                                              <w:lang w:val="sr-Cyrl-RS"/>
                                            </w:rPr>
                                            <w:br/>
                                            <w:t>Теразије 23, Београд</w:t>
                                          </w:r>
                                        </w:p>
                                      </w:tc>
                                    </w:sdtContent>
                                  </w:sdt>
                                  <w:tc>
                                    <w:tcPr>
                                      <w:tcW w:w="12" w:type="pct"/>
                                    </w:tcPr>
                                    <w:p w:rsidR="00132739" w:rsidRDefault="00132739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100" w:type="pct"/>
                                    </w:tcPr>
                                    <w:p w:rsidR="00132739" w:rsidRDefault="00132739">
                                      <w:pPr>
                                        <w:pStyle w:val="ContactInfo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2" w:type="pct"/>
                                    </w:tcPr>
                                    <w:p w:rsidR="00132739" w:rsidRDefault="00132739">
                                      <w:pPr>
                                        <w:pStyle w:val="ContactInfo"/>
                                      </w:pPr>
                                    </w:p>
                                  </w:tc>
                                  <w:tc>
                                    <w:tcPr>
                                      <w:tcW w:w="1466" w:type="pct"/>
                                    </w:tcPr>
                                    <w:sdt>
                                      <w:sdtPr>
                                        <w:alias w:val="Email"/>
                                        <w:tag w:val=""/>
                                        <w:id w:val="-1029019786"/>
                                        <w:placeholder>
                                          <w:docPart w:val="040A6842B8BD4C9A809ED35D584C6383"/>
                                        </w:placeholder>
    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    <w15:appearance w15:val="hidden"/>
                                        <w:text/>
                                      </w:sdtPr>
                                      <w:sdtEndPr/>
                                      <w:sdtContent>
                                        <w:p w:rsidR="00132739" w:rsidRDefault="00132739" w:rsidP="00C66C50">
                                          <w:pPr>
                                            <w:pStyle w:val="ContactInfo"/>
                                            <w:ind w:left="-393" w:hanging="303"/>
                                            <w:jc w:val="right"/>
                                          </w:pPr>
                                          <w:r>
                                            <w:t>јovica.todic@alsu.gov.rs</w:t>
                                          </w:r>
                                        </w:p>
                                      </w:sdtContent>
                                    </w:sdt>
                                    <w:p w:rsidR="00132739" w:rsidRDefault="000946AE" w:rsidP="00C66C50">
                                      <w:pPr>
                                        <w:pStyle w:val="ContactInfo"/>
                                        <w:jc w:val="right"/>
                                      </w:pPr>
                                      <w:sdt>
                                        <w:sdtPr>
                                          <w:alias w:val="Web address"/>
                                          <w:tag w:val=""/>
                                          <w:id w:val="2128656978"/>
                                          <w:placeholder>
                                            <w:docPart w:val="8AE9AB1CE1C24C61B292E8EDC84BE06D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      <w15:appearance w15:val="hidden"/>
                                          <w:text/>
                                        </w:sdtPr>
                                        <w:sdtEndPr/>
                                        <w:sdtContent>
                                          <w:r w:rsidR="00132739">
                                            <w:t>www.alsu.gov.rs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132739" w:rsidRDefault="00132739">
                                <w:pPr>
                                  <w:pStyle w:val="TableSpace"/>
                                </w:pPr>
                                <w:r>
                                  <w:t>@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4592" tIns="0" rIns="164592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Text box displaying company contact information" style="position:absolute;margin-left:0;margin-top:0;width:468pt;height:48.95pt;z-index:2516464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" fillcolor="#f24f4f [3204]" stroked="f" strokeweight=".5pt">
                    <v:textbox inset="12.96pt,0,12.96pt,0">
                      <w:txbxContent>
                        <w:tbl>
                          <w:tblPr>
                            <w:tblW w:w="5054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mpany contact information"/>
                          </w:tblPr>
                          <w:tblGrid>
                            <w:gridCol w:w="4305"/>
                            <w:gridCol w:w="21"/>
                            <w:gridCol w:w="1964"/>
                            <w:gridCol w:w="21"/>
                            <w:gridCol w:w="2616"/>
                          </w:tblGrid>
                          <w:tr w:rsidR="00132739" w:rsidTr="00C66C50">
                            <w:sdt>
                              <w:sdtPr>
                                <w:alias w:val="Address"/>
                                <w:tag w:val=""/>
                                <w:id w:val="-640814801"/>
                                <w:placeholder>
                                  <w:docPart w:val="41CC79673A16430183C2CFB2D4ED28E6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2411" w:type="pct"/>
                                  </w:tcPr>
                                  <w:p w:rsidR="00132739" w:rsidRDefault="00132739" w:rsidP="008F6952">
                                    <w:pPr>
                                      <w:pStyle w:val="ContactInfo"/>
                                    </w:pPr>
                                    <w:r>
                                      <w:rPr>
                                        <w:lang w:val="sr-Cyrl-RS"/>
                                      </w:rPr>
                                      <w:t>Агенција за лиценцирање стечајних управника</w:t>
                                    </w:r>
                                    <w:r>
                                      <w:rPr>
                                        <w:lang w:val="sr-Cyrl-RS"/>
                                      </w:rPr>
                                      <w:br/>
                                      <w:t>Теразије 23, Београд</w:t>
                                    </w:r>
                                  </w:p>
                                </w:tc>
                              </w:sdtContent>
                            </w:sdt>
                            <w:tc>
                              <w:tcPr>
                                <w:tcW w:w="12" w:type="pct"/>
                              </w:tcPr>
                              <w:p w:rsidR="00132739" w:rsidRDefault="00132739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100" w:type="pct"/>
                              </w:tcPr>
                              <w:p w:rsidR="00132739" w:rsidRDefault="00132739">
                                <w:pPr>
                                  <w:pStyle w:val="ContactInfo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" w:type="pct"/>
                              </w:tcPr>
                              <w:p w:rsidR="00132739" w:rsidRDefault="00132739">
                                <w:pPr>
                                  <w:pStyle w:val="ContactInfo"/>
                                </w:pPr>
                              </w:p>
                            </w:tc>
                            <w:tc>
                              <w:tcPr>
                                <w:tcW w:w="1466" w:type="pct"/>
                              </w:tcPr>
                              <w:sdt>
                                <w:sdtPr>
                                  <w:alias w:val="Email"/>
                                  <w:tag w:val=""/>
                                  <w:id w:val="-1029019786"/>
                                  <w:placeholder>
                                    <w:docPart w:val="040A6842B8BD4C9A809ED35D584C6383"/>
                                  </w:placeholder>
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<w15:appearance w15:val="hidden"/>
                                  <w:text/>
                                </w:sdtPr>
                                <w:sdtEndPr/>
                                <w:sdtContent>
                                  <w:p w:rsidR="00132739" w:rsidRDefault="00132739" w:rsidP="00C66C50">
                                    <w:pPr>
                                      <w:pStyle w:val="ContactInfo"/>
                                      <w:ind w:left="-393" w:hanging="303"/>
                                      <w:jc w:val="right"/>
                                    </w:pPr>
                                    <w:r>
                                      <w:t>јovica.todic@alsu.gov.rs</w:t>
                                    </w:r>
                                  </w:p>
                                </w:sdtContent>
                              </w:sdt>
                              <w:p w:rsidR="00132739" w:rsidRDefault="000946AE" w:rsidP="00C66C50">
                                <w:pPr>
                                  <w:pStyle w:val="ContactInfo"/>
                                  <w:jc w:val="right"/>
                                </w:pPr>
                                <w:sdt>
                                  <w:sdtPr>
                                    <w:alias w:val="Web address"/>
                                    <w:tag w:val=""/>
                                    <w:id w:val="2128656978"/>
                                    <w:placeholder>
                                      <w:docPart w:val="8AE9AB1CE1C24C61B292E8EDC84BE06D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32739">
                                      <w:t>www.alsu.gov.rs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32739" w:rsidRDefault="00132739">
                          <w:pPr>
                            <w:pStyle w:val="TableSpace"/>
                          </w:pPr>
                          <w:r>
                            <w:t>@</w:t>
                          </w:r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  <w:p w:rsidR="00203BCC" w:rsidRDefault="00203BCC"/>
        <w:p w:rsidR="00203BCC" w:rsidRDefault="00E50870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2166620</wp:posOffset>
                    </wp:positionV>
                    <wp:extent cx="5486400" cy="4403725"/>
                    <wp:effectExtent l="0" t="0" r="15240" b="0"/>
                    <wp:wrapTopAndBottom/>
                    <wp:docPr id="2" name="Text Box 2" descr="Text box displaying document 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86400" cy="4403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2739" w:rsidRPr="008F6952" w:rsidRDefault="000946AE">
                                <w:pPr>
                                  <w:pStyle w:val="Title"/>
                                  <w:rPr>
                                    <w:sz w:val="60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sz w:val="60"/>
                                      <w:szCs w:val="60"/>
                                      <w:lang w:val="sr-Cyrl-RS"/>
                                    </w:rPr>
                                    <w:alias w:val="Title"/>
                                    <w:tag w:val=""/>
                                    <w:id w:val="139831569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132739" w:rsidRPr="008F6952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 xml:space="preserve">Статистика рада </w:t>
                                    </w:r>
                                    <w:r w:rsidR="00132739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>Цен</w:t>
                                    </w:r>
                                    <w:r w:rsidR="00C809D0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>тра за надзор</w:t>
                                    </w:r>
                                    <w:r w:rsidR="00132739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 xml:space="preserve">, </w:t>
                                    </w:r>
                                    <w:r w:rsidR="00C809D0">
                                      <w:rPr>
                                        <w:sz w:val="60"/>
                                        <w:szCs w:val="60"/>
                                        <w:lang w:val="sr-Latn-RS"/>
                                      </w:rPr>
                                      <w:t>o</w:t>
                                    </w:r>
                                    <w:r w:rsidR="00C809D0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>брачун Тарифе</w:t>
                                    </w:r>
                                    <w:r w:rsidR="00132739" w:rsidRPr="008F6952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 xml:space="preserve"> АЛСУ</w:t>
                                    </w:r>
                                    <w:r w:rsidR="00132739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 xml:space="preserve"> и</w:t>
                                    </w:r>
                                    <w:r w:rsidR="00C809D0">
                                      <w:rPr>
                                        <w:sz w:val="60"/>
                                        <w:szCs w:val="60"/>
                                        <w:lang w:val="sr-Cyrl-RS"/>
                                      </w:rPr>
                                      <w:t xml:space="preserve"> стручни надзор над радом стечајних управника</w:t>
                                    </w:r>
                                  </w:sdtContent>
                                </w:sdt>
                              </w:p>
                              <w:p w:rsidR="00132739" w:rsidRDefault="000946AE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Subtitle"/>
                                    <w:tag w:val=""/>
                                    <w:id w:val="72865562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r w:rsidR="00EB68D1">
                                      <w:t>Јовица Тодић, супервизор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85000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id="Text Box 2" o:spid="_x0000_s1027" type="#_x0000_t202" alt="Text box displaying document title and subtitle" style="position:absolute;margin-left:0;margin-top:170.6pt;width:6in;height:346.75pt;z-index:251645440;visibility:visible;mso-wrap-style:square;mso-width-percent:85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8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" filled="f" stroked="f" strokeweight=".5pt">
                    <v:textbox inset="0,0,0,0">
                      <w:txbxContent>
                        <w:p w:rsidR="00132739" w:rsidRPr="008F6952" w:rsidRDefault="002F76C1">
                          <w:pPr>
                            <w:pStyle w:val="Title"/>
                            <w:rPr>
                              <w:sz w:val="60"/>
                              <w:szCs w:val="60"/>
                            </w:rPr>
                          </w:pPr>
                          <w:sdt>
                            <w:sdtPr>
                              <w:rPr>
                                <w:sz w:val="60"/>
                                <w:szCs w:val="60"/>
                                <w:lang w:val="sr-Cyrl-RS"/>
                              </w:rPr>
                              <w:alias w:val="Title"/>
                              <w:tag w:val=""/>
                              <w:id w:val="139831569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r w:rsidR="00132739" w:rsidRPr="008F6952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 xml:space="preserve">Статистика рада </w:t>
                              </w:r>
                              <w:r w:rsidR="00132739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>Цен</w:t>
                              </w:r>
                              <w:r w:rsidR="00C809D0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>тра за надзор</w:t>
                              </w:r>
                              <w:r w:rsidR="00132739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 xml:space="preserve">, </w:t>
                              </w:r>
                              <w:r w:rsidR="00C809D0">
                                <w:rPr>
                                  <w:sz w:val="60"/>
                                  <w:szCs w:val="60"/>
                                  <w:lang w:val="sr-Latn-RS"/>
                                </w:rPr>
                                <w:t>o</w:t>
                              </w:r>
                              <w:r w:rsidR="00C809D0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>брачун Тарифе</w:t>
                              </w:r>
                              <w:r w:rsidR="00132739" w:rsidRPr="008F6952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 xml:space="preserve"> АЛСУ</w:t>
                              </w:r>
                              <w:r w:rsidR="00132739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 xml:space="preserve"> и</w:t>
                              </w:r>
                              <w:r w:rsidR="00C809D0">
                                <w:rPr>
                                  <w:sz w:val="60"/>
                                  <w:szCs w:val="60"/>
                                  <w:lang w:val="sr-Cyrl-RS"/>
                                </w:rPr>
                                <w:t xml:space="preserve"> стручни надзор над радом стечајних управника</w:t>
                              </w:r>
                            </w:sdtContent>
                          </w:sdt>
                        </w:p>
                        <w:p w:rsidR="00132739" w:rsidRDefault="002F76C1">
                          <w:pPr>
                            <w:pStyle w:val="Subtitle"/>
                          </w:pPr>
                          <w:sdt>
                            <w:sdtPr>
                              <w:alias w:val="Subtitle"/>
                              <w:tag w:val=""/>
                              <w:id w:val="72865562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roofErr w:type="spellStart"/>
                              <w:r w:rsidR="00EB68D1">
                                <w:t>Јовица</w:t>
                              </w:r>
                              <w:proofErr w:type="spellEnd"/>
                              <w:r w:rsidR="00EB68D1">
                                <w:t xml:space="preserve"> </w:t>
                              </w:r>
                              <w:proofErr w:type="spellStart"/>
                              <w:r w:rsidR="00EB68D1">
                                <w:t>Тодић</w:t>
                              </w:r>
                              <w:proofErr w:type="spellEnd"/>
                              <w:r w:rsidR="00EB68D1">
                                <w:t xml:space="preserve">, </w:t>
                              </w:r>
                              <w:proofErr w:type="spellStart"/>
                              <w:r w:rsidR="00EB68D1">
                                <w:t>супервизор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  <w:r w:rsidR="007F4277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4C483D" w:themeColor="text2"/>
          <w:sz w:val="20"/>
          <w:szCs w:val="20"/>
        </w:rPr>
        <w:id w:val="1250242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03BCC" w:rsidRPr="00C65126" w:rsidRDefault="00C65126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:rsidR="007B68BB" w:rsidRDefault="007F4277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r>
            <w:fldChar w:fldCharType="begin"/>
          </w:r>
          <w:r>
            <w:instrText xml:space="preserve"> TOC \o "1-2" \n "2-2" \h \z \u </w:instrText>
          </w:r>
          <w:r>
            <w:fldChar w:fldCharType="separate"/>
          </w:r>
          <w:hyperlink w:anchor="_Toc467576822" w:history="1">
            <w:r w:rsidR="007B68BB" w:rsidRPr="00805551">
              <w:rPr>
                <w:rStyle w:val="Hyperlink"/>
                <w:noProof/>
                <w:lang w:val="sr-Cyrl-RS"/>
              </w:rPr>
              <w:t>Резиме</w:t>
            </w:r>
            <w:r w:rsidR="007B68BB">
              <w:rPr>
                <w:noProof/>
                <w:webHidden/>
              </w:rPr>
              <w:tab/>
            </w:r>
            <w:r w:rsidR="007B68BB">
              <w:rPr>
                <w:noProof/>
                <w:webHidden/>
              </w:rPr>
              <w:fldChar w:fldCharType="begin"/>
            </w:r>
            <w:r w:rsidR="007B68BB">
              <w:rPr>
                <w:noProof/>
                <w:webHidden/>
              </w:rPr>
              <w:instrText xml:space="preserve"> PAGEREF _Toc467576822 \h </w:instrText>
            </w:r>
            <w:r w:rsidR="007B68BB">
              <w:rPr>
                <w:noProof/>
                <w:webHidden/>
              </w:rPr>
            </w:r>
            <w:r w:rsidR="007B68BB">
              <w:rPr>
                <w:noProof/>
                <w:webHidden/>
              </w:rPr>
              <w:fldChar w:fldCharType="separate"/>
            </w:r>
            <w:r w:rsidR="004037BE">
              <w:rPr>
                <w:noProof/>
                <w:webHidden/>
              </w:rPr>
              <w:t>2</w:t>
            </w:r>
            <w:r w:rsidR="007B68BB">
              <w:rPr>
                <w:noProof/>
                <w:webHidden/>
              </w:rPr>
              <w:fldChar w:fldCharType="end"/>
            </w:r>
          </w:hyperlink>
        </w:p>
        <w:p w:rsidR="007B68BB" w:rsidRDefault="000946AE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467576823" w:history="1">
            <w:r w:rsidR="007B68BB" w:rsidRPr="00805551">
              <w:rPr>
                <w:rStyle w:val="Hyperlink"/>
                <w:noProof/>
                <w:lang w:val="sr-Cyrl-RS"/>
              </w:rPr>
              <w:t>Статистика рада супервизије</w:t>
            </w:r>
            <w:r w:rsidR="007B68BB">
              <w:rPr>
                <w:noProof/>
                <w:webHidden/>
              </w:rPr>
              <w:tab/>
            </w:r>
            <w:r w:rsidR="007B68BB">
              <w:rPr>
                <w:noProof/>
                <w:webHidden/>
              </w:rPr>
              <w:fldChar w:fldCharType="begin"/>
            </w:r>
            <w:r w:rsidR="007B68BB">
              <w:rPr>
                <w:noProof/>
                <w:webHidden/>
              </w:rPr>
              <w:instrText xml:space="preserve"> PAGEREF _Toc467576823 \h </w:instrText>
            </w:r>
            <w:r w:rsidR="007B68BB">
              <w:rPr>
                <w:noProof/>
                <w:webHidden/>
              </w:rPr>
            </w:r>
            <w:r w:rsidR="007B68BB">
              <w:rPr>
                <w:noProof/>
                <w:webHidden/>
              </w:rPr>
              <w:fldChar w:fldCharType="separate"/>
            </w:r>
            <w:r w:rsidR="004037BE">
              <w:rPr>
                <w:noProof/>
                <w:webHidden/>
              </w:rPr>
              <w:t>3</w:t>
            </w:r>
            <w:r w:rsidR="007B68BB">
              <w:rPr>
                <w:noProof/>
                <w:webHidden/>
              </w:rPr>
              <w:fldChar w:fldCharType="end"/>
            </w:r>
          </w:hyperlink>
        </w:p>
        <w:p w:rsidR="007B68BB" w:rsidRDefault="000946AE">
          <w:pPr>
            <w:pStyle w:val="TOC2"/>
            <w:rPr>
              <w:noProof/>
              <w:color w:val="auto"/>
              <w:lang w:eastAsia="en-US"/>
            </w:rPr>
          </w:pPr>
          <w:hyperlink w:anchor="_Toc467576824" w:history="1">
            <w:r w:rsidR="007B68BB" w:rsidRPr="00805551">
              <w:rPr>
                <w:rStyle w:val="Hyperlink"/>
                <w:noProof/>
                <w:lang w:val="sr-Cyrl-RS"/>
              </w:rPr>
              <w:t>Статистика надзора над радом стечајних управника у 2016. години</w:t>
            </w:r>
          </w:hyperlink>
        </w:p>
        <w:p w:rsidR="007B68BB" w:rsidRDefault="000946AE">
          <w:pPr>
            <w:pStyle w:val="TOC2"/>
            <w:rPr>
              <w:noProof/>
              <w:color w:val="auto"/>
              <w:lang w:eastAsia="en-US"/>
            </w:rPr>
          </w:pPr>
          <w:hyperlink w:anchor="_Toc467576825" w:history="1">
            <w:r w:rsidR="007B68BB" w:rsidRPr="00805551">
              <w:rPr>
                <w:rStyle w:val="Hyperlink"/>
                <w:noProof/>
                <w:lang w:val="sr-Cyrl-RS"/>
              </w:rPr>
              <w:t>Надзор увидом и анализом – Национални стандард број 4</w:t>
            </w:r>
          </w:hyperlink>
        </w:p>
        <w:p w:rsidR="007B68BB" w:rsidRDefault="000946AE">
          <w:pPr>
            <w:pStyle w:val="TOC2"/>
            <w:rPr>
              <w:noProof/>
              <w:color w:val="auto"/>
              <w:lang w:eastAsia="en-US"/>
            </w:rPr>
          </w:pPr>
          <w:hyperlink w:anchor="_Toc467576826" w:history="1">
            <w:r w:rsidR="007B68BB" w:rsidRPr="00805551">
              <w:rPr>
                <w:rStyle w:val="Hyperlink"/>
                <w:noProof/>
                <w:lang w:val="sr-Cyrl-RS"/>
              </w:rPr>
              <w:t>Редовни непосредни надзор</w:t>
            </w:r>
          </w:hyperlink>
        </w:p>
        <w:p w:rsidR="007B68BB" w:rsidRDefault="000946AE">
          <w:pPr>
            <w:pStyle w:val="TOC2"/>
            <w:rPr>
              <w:noProof/>
              <w:color w:val="auto"/>
              <w:lang w:eastAsia="en-US"/>
            </w:rPr>
          </w:pPr>
          <w:hyperlink w:anchor="_Toc467576827" w:history="1">
            <w:r w:rsidR="007B68BB" w:rsidRPr="00805551">
              <w:rPr>
                <w:rStyle w:val="Hyperlink"/>
                <w:noProof/>
                <w:lang w:val="sr-Cyrl-RS"/>
              </w:rPr>
              <w:t>Ванредни непосредни надзор</w:t>
            </w:r>
          </w:hyperlink>
        </w:p>
        <w:p w:rsidR="007B68BB" w:rsidRPr="00C809D0" w:rsidRDefault="000946AE" w:rsidP="00C809D0">
          <w:pPr>
            <w:pStyle w:val="TOC2"/>
            <w:rPr>
              <w:noProof/>
              <w:color w:val="auto"/>
              <w:lang w:eastAsia="en-US"/>
            </w:rPr>
          </w:pPr>
          <w:hyperlink w:anchor="_Toc467576828" w:history="1">
            <w:r w:rsidR="007B68BB" w:rsidRPr="00805551">
              <w:rPr>
                <w:rStyle w:val="Hyperlink"/>
                <w:noProof/>
                <w:lang w:val="sr-Cyrl-RS"/>
              </w:rPr>
              <w:t>Испитивање рада стечајних управника по притужбама</w:t>
            </w:r>
          </w:hyperlink>
        </w:p>
        <w:p w:rsidR="007B68BB" w:rsidRDefault="000946AE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467576830" w:history="1">
            <w:r w:rsidR="00C809D0">
              <w:rPr>
                <w:rStyle w:val="Hyperlink"/>
                <w:noProof/>
                <w:lang w:val="sr-Cyrl-RS"/>
              </w:rPr>
              <w:t>Тарифа АЛСУ</w:t>
            </w:r>
            <w:r w:rsidR="007B68BB">
              <w:rPr>
                <w:noProof/>
                <w:webHidden/>
              </w:rPr>
              <w:tab/>
            </w:r>
            <w:r w:rsidR="004E24F8">
              <w:rPr>
                <w:noProof/>
                <w:webHidden/>
                <w:lang w:val="sr-Cyrl-RS"/>
              </w:rPr>
              <w:t>10</w:t>
            </w:r>
          </w:hyperlink>
        </w:p>
        <w:p w:rsidR="007B68BB" w:rsidRDefault="000946AE">
          <w:pPr>
            <w:pStyle w:val="TOC1"/>
            <w:rPr>
              <w:b w:val="0"/>
              <w:bCs w:val="0"/>
              <w:noProof/>
              <w:color w:val="auto"/>
              <w:sz w:val="22"/>
              <w:szCs w:val="22"/>
              <w:lang w:eastAsia="en-US"/>
            </w:rPr>
          </w:pPr>
          <w:hyperlink w:anchor="_Toc467576831" w:history="1">
            <w:r w:rsidR="007B68BB" w:rsidRPr="00805551">
              <w:rPr>
                <w:rStyle w:val="Hyperlink"/>
                <w:noProof/>
                <w:lang w:val="sr-Cyrl-RS"/>
              </w:rPr>
              <w:t>Закључак</w:t>
            </w:r>
            <w:r w:rsidR="007B68BB">
              <w:rPr>
                <w:noProof/>
                <w:webHidden/>
              </w:rPr>
              <w:tab/>
            </w:r>
            <w:r w:rsidR="004E24F8">
              <w:rPr>
                <w:noProof/>
                <w:webHidden/>
                <w:lang w:val="sr-Cyrl-RS"/>
              </w:rPr>
              <w:t>13</w:t>
            </w:r>
          </w:hyperlink>
        </w:p>
        <w:p w:rsidR="00203BCC" w:rsidRDefault="007F4277">
          <w:r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203BCC" w:rsidRDefault="00203BCC">
      <w:pPr>
        <w:sectPr w:rsidR="00203BCC">
          <w:pgSz w:w="12240" w:h="15840" w:code="1"/>
          <w:pgMar w:top="1080" w:right="1440" w:bottom="1080" w:left="1440" w:header="720" w:footer="576" w:gutter="0"/>
          <w:pgNumType w:start="0"/>
          <w:cols w:space="720"/>
          <w:titlePg/>
          <w:docGrid w:linePitch="360"/>
        </w:sectPr>
      </w:pPr>
    </w:p>
    <w:p w:rsidR="00203BCC" w:rsidRPr="007A0E2F" w:rsidRDefault="007A0E2F">
      <w:pPr>
        <w:pStyle w:val="Heading1"/>
        <w:rPr>
          <w:lang w:val="sr-Cyrl-RS"/>
        </w:rPr>
      </w:pPr>
      <w:bookmarkStart w:id="0" w:name="_Toc467576822"/>
      <w:r>
        <w:rPr>
          <w:lang w:val="sr-Cyrl-RS"/>
        </w:rPr>
        <w:lastRenderedPageBreak/>
        <w:t>Резиме</w:t>
      </w:r>
      <w:bookmarkEnd w:id="0"/>
    </w:p>
    <w:tbl>
      <w:tblPr>
        <w:tblStyle w:val="TipTable"/>
        <w:tblW w:w="4860" w:type="pct"/>
        <w:shd w:val="clear" w:color="auto" w:fill="E4E3E2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360"/>
        <w:gridCol w:w="8738"/>
      </w:tblGrid>
      <w:tr w:rsidR="00203BCC" w:rsidTr="005C75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" w:type="pct"/>
            <w:shd w:val="clear" w:color="auto" w:fill="E4E3E2" w:themeFill="background2"/>
          </w:tcPr>
          <w:p w:rsidR="00203BCC" w:rsidRDefault="00203BCC">
            <w:pPr>
              <w:pStyle w:val="Icon"/>
              <w:rPr>
                <w:u w:val="double"/>
              </w:rPr>
            </w:pPr>
          </w:p>
        </w:tc>
        <w:tc>
          <w:tcPr>
            <w:tcW w:w="4802" w:type="pct"/>
            <w:shd w:val="clear" w:color="auto" w:fill="E4E3E2" w:themeFill="background2"/>
          </w:tcPr>
          <w:p w:rsidR="000A3D7C" w:rsidRDefault="004A76ED" w:rsidP="002E5D6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 xml:space="preserve">Центар за надзор и развој професије Агенције за лиценцирање стечајних управника (у даљем тексту: Агенција) </w:t>
            </w:r>
            <w:r w:rsidR="00534E1D">
              <w:rPr>
                <w:lang w:val="sr-Cyrl-RS"/>
              </w:rPr>
              <w:t xml:space="preserve">овим радом представља статистичке податке о извршеном надзору над радом стечајних управника у периоду од </w:t>
            </w:r>
            <w:r w:rsidR="004E24F8">
              <w:rPr>
                <w:lang w:val="sr-Cyrl-RS"/>
              </w:rPr>
              <w:t>1. новембра 2015. године до 31. децембра</w:t>
            </w:r>
            <w:r w:rsidR="00534E1D" w:rsidRPr="00534E1D">
              <w:rPr>
                <w:lang w:val="sr-Cyrl-RS"/>
              </w:rPr>
              <w:t xml:space="preserve"> </w:t>
            </w:r>
            <w:r w:rsidR="004E24F8">
              <w:rPr>
                <w:lang w:val="sr-Cyrl-RS"/>
              </w:rPr>
              <w:t>2016</w:t>
            </w:r>
            <w:r w:rsidR="00534E1D" w:rsidRPr="00534E1D">
              <w:rPr>
                <w:lang w:val="sr-Cyrl-RS"/>
              </w:rPr>
              <w:t>. године</w:t>
            </w:r>
            <w:r w:rsidR="00534E1D">
              <w:rPr>
                <w:lang w:val="sr-Cyrl-RS"/>
              </w:rPr>
              <w:t>, по врстама надзора.</w:t>
            </w:r>
            <w:r w:rsidR="003F51D5">
              <w:rPr>
                <w:lang w:val="sr-Cyrl-RS"/>
              </w:rPr>
              <w:t xml:space="preserve"> У овом делу рада приказани су и </w:t>
            </w:r>
            <w:r w:rsidR="00CF5105">
              <w:rPr>
                <w:lang w:val="sr-Cyrl-RS"/>
              </w:rPr>
              <w:t xml:space="preserve">краћи </w:t>
            </w:r>
            <w:r w:rsidR="003F51D5">
              <w:rPr>
                <w:lang w:val="sr-Cyrl-RS"/>
              </w:rPr>
              <w:t xml:space="preserve">описи </w:t>
            </w:r>
            <w:r w:rsidR="00CF5105">
              <w:rPr>
                <w:lang w:val="sr-Cyrl-RS"/>
              </w:rPr>
              <w:t>најчешћих утврђених неправилности.</w:t>
            </w:r>
          </w:p>
          <w:p w:rsidR="00C967E4" w:rsidRPr="005C75E8" w:rsidRDefault="00E90FFF" w:rsidP="002E5D6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На крају, дајемо кратак осврт на Тарифу</w:t>
            </w:r>
            <w:r w:rsidR="0058745E">
              <w:t xml:space="preserve"> </w:t>
            </w:r>
            <w:r w:rsidR="0058745E" w:rsidRPr="0058745E">
              <w:rPr>
                <w:lang w:val="sr-Cyrl-RS"/>
              </w:rPr>
              <w:t xml:space="preserve">о ценама за </w:t>
            </w:r>
            <w:r w:rsidR="0058745E">
              <w:rPr>
                <w:lang w:val="sr-Cyrl-RS"/>
              </w:rPr>
              <w:t xml:space="preserve">послове из надлежности Агенције </w:t>
            </w:r>
            <w:r w:rsidR="0058745E" w:rsidRPr="0058745E">
              <w:rPr>
                <w:lang w:val="sr-Cyrl-RS"/>
              </w:rPr>
              <w:t>за лиценцирање стечајних управника</w:t>
            </w:r>
            <w:r>
              <w:rPr>
                <w:lang w:val="sr-Cyrl-RS"/>
              </w:rPr>
              <w:t xml:space="preserve"> и обавезама стечајних управника </w:t>
            </w:r>
            <w:r w:rsidR="00A9651D">
              <w:rPr>
                <w:lang w:val="sr-Cyrl-RS"/>
              </w:rPr>
              <w:t xml:space="preserve">и стечајних дужника </w:t>
            </w:r>
            <w:r>
              <w:rPr>
                <w:lang w:val="sr-Cyrl-RS"/>
              </w:rPr>
              <w:t>по том основу.</w:t>
            </w:r>
          </w:p>
        </w:tc>
      </w:tr>
    </w:tbl>
    <w:p w:rsidR="00203BCC" w:rsidRDefault="00203BCC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2F40A0" w:rsidRDefault="002F40A0">
      <w:pPr>
        <w:rPr>
          <w:lang w:val="sr-Cyrl-RS"/>
        </w:rPr>
      </w:pPr>
    </w:p>
    <w:p w:rsidR="00C967E4" w:rsidRDefault="00C967E4">
      <w:pPr>
        <w:rPr>
          <w:lang w:val="sr-Cyrl-RS"/>
        </w:rPr>
      </w:pPr>
    </w:p>
    <w:p w:rsidR="00C967E4" w:rsidRDefault="00C967E4">
      <w:pPr>
        <w:rPr>
          <w:lang w:val="sr-Cyrl-RS"/>
        </w:rPr>
      </w:pPr>
    </w:p>
    <w:p w:rsidR="00BE7EF2" w:rsidRDefault="00BE7EF2">
      <w:pPr>
        <w:rPr>
          <w:lang w:val="sr-Cyrl-RS"/>
        </w:rPr>
      </w:pPr>
    </w:p>
    <w:p w:rsidR="0058745E" w:rsidRDefault="0058745E">
      <w:pPr>
        <w:rPr>
          <w:lang w:val="sr-Cyrl-RS"/>
        </w:rPr>
      </w:pPr>
    </w:p>
    <w:p w:rsidR="0058745E" w:rsidRDefault="0058745E">
      <w:pPr>
        <w:rPr>
          <w:lang w:val="sr-Cyrl-RS"/>
        </w:rPr>
      </w:pPr>
    </w:p>
    <w:p w:rsidR="00C967E4" w:rsidRDefault="00C967E4">
      <w:pPr>
        <w:rPr>
          <w:lang w:val="sr-Cyrl-RS"/>
        </w:rPr>
      </w:pPr>
    </w:p>
    <w:p w:rsidR="004E24F8" w:rsidRDefault="004E24F8">
      <w:pPr>
        <w:rPr>
          <w:lang w:val="sr-Cyrl-RS"/>
        </w:rPr>
      </w:pPr>
    </w:p>
    <w:p w:rsidR="004E24F8" w:rsidRDefault="004E24F8">
      <w:pPr>
        <w:rPr>
          <w:lang w:val="sr-Cyrl-RS"/>
        </w:rPr>
      </w:pPr>
    </w:p>
    <w:p w:rsidR="004E24F8" w:rsidRPr="005C75E8" w:rsidRDefault="004E24F8">
      <w:pPr>
        <w:rPr>
          <w:lang w:val="sr-Cyrl-RS"/>
        </w:rPr>
      </w:pPr>
    </w:p>
    <w:p w:rsidR="00203BCC" w:rsidRPr="00E54E54" w:rsidRDefault="008F6952">
      <w:pPr>
        <w:pStyle w:val="Heading1"/>
        <w:rPr>
          <w:lang w:val="sr-Cyrl-RS"/>
        </w:rPr>
      </w:pPr>
      <w:bookmarkStart w:id="1" w:name="_Toc467576823"/>
      <w:r w:rsidRPr="008F6952">
        <w:rPr>
          <w:lang w:val="sr-Cyrl-RS"/>
        </w:rPr>
        <w:lastRenderedPageBreak/>
        <w:t>Статистика рада супервизије</w:t>
      </w:r>
      <w:bookmarkEnd w:id="1"/>
    </w:p>
    <w:p w:rsidR="00BE7EF2" w:rsidRDefault="00BE7EF2" w:rsidP="00D619A5">
      <w:pPr>
        <w:spacing w:after="120"/>
        <w:rPr>
          <w:lang w:val="sr-Cyrl-RS"/>
        </w:rPr>
      </w:pPr>
      <w:r w:rsidRPr="00BE7EF2">
        <w:rPr>
          <w:lang w:val="sr-Cyrl-RS"/>
        </w:rPr>
        <w:t>Агенција обављ</w:t>
      </w:r>
      <w:r w:rsidR="00D619A5">
        <w:rPr>
          <w:lang w:val="sr-Cyrl-RS"/>
        </w:rPr>
        <w:t>а стручне и регулаторне послове</w:t>
      </w:r>
      <w:r w:rsidRPr="00BE7EF2">
        <w:rPr>
          <w:lang w:val="sr-Cyrl-RS"/>
        </w:rPr>
        <w:t xml:space="preserve"> у складу са </w:t>
      </w:r>
      <w:r>
        <w:rPr>
          <w:lang w:val="sr-Cyrl-RS"/>
        </w:rPr>
        <w:t>Законом</w:t>
      </w:r>
      <w:r w:rsidRPr="00BE7EF2">
        <w:rPr>
          <w:lang w:val="sr-Cyrl-RS"/>
        </w:rPr>
        <w:t xml:space="preserve"> о Aгенцији за лиценцирање стечајних управника („Слу</w:t>
      </w:r>
      <w:r>
        <w:rPr>
          <w:lang w:val="sr-Cyrl-RS"/>
        </w:rPr>
        <w:t xml:space="preserve">жбени гласник РС “, бр. 84/04, </w:t>
      </w:r>
      <w:r w:rsidRPr="00BE7EF2">
        <w:rPr>
          <w:lang w:val="sr-Cyrl-RS"/>
        </w:rPr>
        <w:t>104/09</w:t>
      </w:r>
      <w:r>
        <w:rPr>
          <w:lang w:val="sr-Cyrl-RS"/>
        </w:rPr>
        <w:t xml:space="preserve"> и 89/15</w:t>
      </w:r>
      <w:r w:rsidR="00D619A5">
        <w:rPr>
          <w:lang w:val="sr-Cyrl-RS"/>
        </w:rPr>
        <w:t>) и</w:t>
      </w:r>
      <w:r w:rsidRPr="00BE7EF2">
        <w:rPr>
          <w:lang w:val="sr-Cyrl-RS"/>
        </w:rPr>
        <w:t xml:space="preserve"> </w:t>
      </w:r>
      <w:r>
        <w:rPr>
          <w:lang w:val="sr-Cyrl-RS"/>
        </w:rPr>
        <w:t>Законом</w:t>
      </w:r>
      <w:r w:rsidRPr="00BE7EF2">
        <w:rPr>
          <w:lang w:val="sr-Cyrl-RS"/>
        </w:rPr>
        <w:t xml:space="preserve"> о стечају („Службени  гласник РС“, бр. 104/09, 99/11 – др. закон, 71/12 – одлука УС и 83/14)</w:t>
      </w:r>
      <w:r>
        <w:rPr>
          <w:lang w:val="sr-Cyrl-RS"/>
        </w:rPr>
        <w:t xml:space="preserve">. </w:t>
      </w:r>
    </w:p>
    <w:p w:rsidR="00251F75" w:rsidRDefault="00BE7EF2" w:rsidP="0022071E">
      <w:pPr>
        <w:spacing w:after="120"/>
        <w:rPr>
          <w:lang w:val="sr-Cyrl-RS"/>
        </w:rPr>
      </w:pPr>
      <w:r>
        <w:rPr>
          <w:lang w:val="sr-Cyrl-RS"/>
        </w:rPr>
        <w:t xml:space="preserve">Поред осталог, Агенција као поверени посао </w:t>
      </w:r>
      <w:r w:rsidRPr="00BE7EF2">
        <w:rPr>
          <w:lang w:val="sr-Cyrl-RS"/>
        </w:rPr>
        <w:t xml:space="preserve">врши стручни надзор над радом стечајног управника, </w:t>
      </w:r>
      <w:r w:rsidR="00D619A5">
        <w:rPr>
          <w:lang w:val="sr-Cyrl-RS"/>
        </w:rPr>
        <w:t xml:space="preserve">у складу са наведеним законима и </w:t>
      </w:r>
      <w:r w:rsidR="00D619A5" w:rsidRPr="00BE7EF2">
        <w:rPr>
          <w:lang w:val="sr-Cyrl-RS"/>
        </w:rPr>
        <w:t>Правилник</w:t>
      </w:r>
      <w:r w:rsidR="00D619A5">
        <w:rPr>
          <w:lang w:val="sr-Cyrl-RS"/>
        </w:rPr>
        <w:t>ом</w:t>
      </w:r>
      <w:r w:rsidR="00D619A5" w:rsidRPr="00BE7EF2">
        <w:rPr>
          <w:lang w:val="sr-Cyrl-RS"/>
        </w:rPr>
        <w:t xml:space="preserve"> о начину обављања стручног надзора над радом лиценцираних стечајних управника („Службени гласник РС“ број 35/10)</w:t>
      </w:r>
      <w:r>
        <w:rPr>
          <w:lang w:val="sr-Cyrl-RS"/>
        </w:rPr>
        <w:t xml:space="preserve">. </w:t>
      </w:r>
      <w:r w:rsidR="0022071E" w:rsidRPr="00A84551">
        <w:rPr>
          <w:lang w:val="sr-Cyrl-RS"/>
        </w:rPr>
        <w:t>Овлашћена лица и органи за вршење стручног надзора</w:t>
      </w:r>
      <w:r w:rsidR="0022071E">
        <w:rPr>
          <w:lang w:val="sr-Cyrl-RS"/>
        </w:rPr>
        <w:t xml:space="preserve"> су: супервизор, директор Агенције и Дисциплинско веће.</w:t>
      </w:r>
    </w:p>
    <w:p w:rsidR="00F13365" w:rsidRPr="00F13365" w:rsidRDefault="00F13365" w:rsidP="00900D2E">
      <w:pPr>
        <w:spacing w:after="120"/>
        <w:rPr>
          <w:lang w:val="sr-Cyrl-RS"/>
        </w:rPr>
      </w:pPr>
      <w:r w:rsidRPr="00F13365">
        <w:rPr>
          <w:lang w:val="sr-Cyrl-RS"/>
        </w:rPr>
        <w:t>У вршењу стручног надзора, супервизор Агенције прати рад стечајног управника, са становишта примене прописа којима се уређује стечај</w:t>
      </w:r>
      <w:r w:rsidR="00D619A5">
        <w:rPr>
          <w:lang w:val="sr-Cyrl-RS"/>
        </w:rPr>
        <w:t>,</w:t>
      </w:r>
      <w:r w:rsidRPr="00F13365">
        <w:rPr>
          <w:lang w:val="sr-Cyrl-RS"/>
        </w:rPr>
        <w:t xml:space="preserve"> и то нарочито анализом: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>промена на рачуну</w:t>
      </w:r>
      <w:r>
        <w:rPr>
          <w:lang w:val="sr-Cyrl-RS"/>
        </w:rPr>
        <w:t xml:space="preserve"> </w:t>
      </w:r>
      <w:r w:rsidRPr="00F13365">
        <w:rPr>
          <w:lang w:val="sr-Cyrl-RS"/>
        </w:rPr>
        <w:t xml:space="preserve">стечајног дужника;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 xml:space="preserve">пописа и поступка процене имовине стечајног дужника, не улазећи у адекватност примењених метода процене;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 xml:space="preserve">поступка припреме и реализације уновчења стечајне масе, без обзира на начин  уновчења, водећи рачуна да ли је стечајни управник заштитио интересе свих учесника у  поступку,  једнако  поступао  са  заинтересованим  купцима  имовине  стечајног  дужника, обезбедио  јавност  поступка  уновчења  у  складу  са  законом  и  уобичајеном  праксом  у  стечају, као и да ли је предузео све неопходне активности у циљу најповољнијег намирења  поверилаца;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 xml:space="preserve">трошкова  стечајног  поступка  и  обавеза  стечајне  масе  у  погледу  постојања  прописаних сагласности, одобрења и одговарајуће документације;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 xml:space="preserve">испитивања пријављених потраживања поверилаца и израде листе потраживања,  упогледупредузимања свих прописаних активности и поштовања рокова;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 xml:space="preserve">поштовања рокова при управљању стечајном масом, при чему ће посебну пажњу  обратити на предмете чије је трајање дуже од две године;  </w:t>
      </w:r>
    </w:p>
    <w:p w:rsidR="00F13365" w:rsidRPr="00F13365" w:rsidRDefault="00F13365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 w:rsidRPr="00F13365">
        <w:rPr>
          <w:lang w:val="sr-Cyrl-RS"/>
        </w:rPr>
        <w:t xml:space="preserve">постојања потребних мишљења, сагласности или одобрења одбора поверилаца и  других органа поступка;  </w:t>
      </w:r>
    </w:p>
    <w:p w:rsidR="00F13365" w:rsidRDefault="0022071E" w:rsidP="00F13365">
      <w:pPr>
        <w:pStyle w:val="ListParagraph"/>
        <w:numPr>
          <w:ilvl w:val="0"/>
          <w:numId w:val="16"/>
        </w:numPr>
        <w:spacing w:after="120"/>
        <w:rPr>
          <w:lang w:val="sr-Cyrl-RS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1477670</wp:posOffset>
            </wp:positionH>
            <wp:positionV relativeFrom="paragraph">
              <wp:posOffset>218261</wp:posOffset>
            </wp:positionV>
            <wp:extent cx="4667098" cy="2977287"/>
            <wp:effectExtent l="0" t="0" r="0" b="0"/>
            <wp:wrapThrough wrapText="bothSides">
              <wp:wrapPolygon edited="0">
                <wp:start x="9964" y="0"/>
                <wp:lineTo x="9258" y="553"/>
                <wp:lineTo x="7759" y="2073"/>
                <wp:lineTo x="7759" y="2626"/>
                <wp:lineTo x="7054" y="4700"/>
                <wp:lineTo x="5731" y="5667"/>
                <wp:lineTo x="4673" y="6635"/>
                <wp:lineTo x="3880" y="9123"/>
                <wp:lineTo x="3792" y="11334"/>
                <wp:lineTo x="4232" y="13546"/>
                <wp:lineTo x="4232" y="13823"/>
                <wp:lineTo x="7230" y="17969"/>
                <wp:lineTo x="8200" y="20181"/>
                <wp:lineTo x="9611" y="21425"/>
                <wp:lineTo x="9876" y="21425"/>
                <wp:lineTo x="11727" y="21425"/>
                <wp:lineTo x="11992" y="21425"/>
                <wp:lineTo x="13403" y="20181"/>
                <wp:lineTo x="14373" y="17969"/>
                <wp:lineTo x="16048" y="15758"/>
                <wp:lineTo x="17371" y="13684"/>
                <wp:lineTo x="17371" y="13546"/>
                <wp:lineTo x="17723" y="11334"/>
                <wp:lineTo x="17635" y="9123"/>
                <wp:lineTo x="16841" y="6911"/>
                <wp:lineTo x="15960" y="5944"/>
                <wp:lineTo x="14549" y="4700"/>
                <wp:lineTo x="13932" y="2073"/>
                <wp:lineTo x="11639" y="0"/>
                <wp:lineTo x="9964" y="0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365" w:rsidRPr="00F13365">
        <w:rPr>
          <w:lang w:val="sr-Cyrl-RS"/>
        </w:rPr>
        <w:t>испуњења обавезе  достављања  Агенцији прописане или по захтеву  Агенције тражене документације и извештаја.</w:t>
      </w:r>
    </w:p>
    <w:p w:rsidR="0022071E" w:rsidRDefault="0022071E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F13365" w:rsidRPr="0079318E" w:rsidRDefault="00F13365" w:rsidP="0079318E">
      <w:pPr>
        <w:spacing w:after="120"/>
        <w:ind w:left="720" w:firstLine="720"/>
        <w:rPr>
          <w:b/>
          <w:lang w:val="sr-Cyrl-RS"/>
        </w:rPr>
      </w:pPr>
      <w:r w:rsidRPr="0079318E">
        <w:rPr>
          <w:b/>
          <w:lang w:val="sr-Cyrl-RS"/>
        </w:rPr>
        <w:t xml:space="preserve">Стручни надзор </w:t>
      </w:r>
      <w:r w:rsidR="00BA35D4" w:rsidRPr="0079318E">
        <w:rPr>
          <w:b/>
          <w:lang w:val="sr-Cyrl-RS"/>
        </w:rPr>
        <w:t>чини:</w:t>
      </w:r>
    </w:p>
    <w:p w:rsidR="00BA35D4" w:rsidRDefault="00BA35D4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22071E" w:rsidRDefault="0022071E" w:rsidP="00F13365">
      <w:pPr>
        <w:spacing w:after="120"/>
        <w:rPr>
          <w:lang w:val="sr-Cyrl-RS"/>
        </w:rPr>
      </w:pPr>
    </w:p>
    <w:p w:rsidR="0022071E" w:rsidRPr="00F13365" w:rsidRDefault="0022071E" w:rsidP="00F13365">
      <w:pPr>
        <w:spacing w:after="120"/>
        <w:rPr>
          <w:lang w:val="sr-Cyrl-RS"/>
        </w:rPr>
      </w:pPr>
    </w:p>
    <w:p w:rsidR="00C20025" w:rsidRDefault="001B2CA2" w:rsidP="00C20025">
      <w:pPr>
        <w:pStyle w:val="Heading2"/>
        <w:rPr>
          <w:lang w:val="sr-Cyrl-RS"/>
        </w:rPr>
      </w:pPr>
      <w:bookmarkStart w:id="2" w:name="_Toc467576824"/>
      <w:r>
        <w:rPr>
          <w:lang w:val="sr-Cyrl-RS"/>
        </w:rPr>
        <w:lastRenderedPageBreak/>
        <w:t>Статистика надзора над радом стечајних управника у 2016. години</w:t>
      </w:r>
      <w:bookmarkEnd w:id="2"/>
    </w:p>
    <w:p w:rsidR="00833D8F" w:rsidRDefault="004952CE" w:rsidP="00504F95">
      <w:pPr>
        <w:spacing w:after="120"/>
        <w:rPr>
          <w:lang w:val="sr-Cyrl-RS"/>
        </w:rPr>
      </w:pPr>
      <w:r>
        <w:rPr>
          <w:lang w:val="sr-Cyrl-RS"/>
        </w:rPr>
        <w:t xml:space="preserve">У намери да представимо резултате извршеног надзора над радом стечајних управника у делу рада супервизора Агенције, у наставку су дати показатељи по врсти надзора. Период на који се подаци односе </w:t>
      </w:r>
      <w:r w:rsidR="00834485">
        <w:rPr>
          <w:lang w:val="sr-Cyrl-RS"/>
        </w:rPr>
        <w:t>обухвата распон</w:t>
      </w:r>
      <w:r>
        <w:rPr>
          <w:lang w:val="sr-Cyrl-RS"/>
        </w:rPr>
        <w:t xml:space="preserve"> од 1. новембра 2015. године до </w:t>
      </w:r>
      <w:r w:rsidR="00446EDE">
        <w:rPr>
          <w:lang w:val="sr-Cyrl-RS"/>
        </w:rPr>
        <w:t>31. децембра</w:t>
      </w:r>
      <w:r>
        <w:rPr>
          <w:lang w:val="sr-Cyrl-RS"/>
        </w:rPr>
        <w:t xml:space="preserve"> 2016. године.</w:t>
      </w:r>
    </w:p>
    <w:p w:rsidR="00431040" w:rsidRPr="00E960EA" w:rsidRDefault="00174C16" w:rsidP="00504F95">
      <w:pPr>
        <w:spacing w:after="120"/>
        <w:rPr>
          <w:b/>
          <w:lang w:val="sr-Cyrl-RS"/>
        </w:rPr>
      </w:pPr>
      <w:r w:rsidRPr="00174C16">
        <w:rPr>
          <w:u w:val="single"/>
          <w:lang w:val="sr-Cyrl-RS"/>
        </w:rPr>
        <w:t>Графикон број 1.</w:t>
      </w:r>
      <w:r>
        <w:rPr>
          <w:lang w:val="sr-Cyrl-RS"/>
        </w:rPr>
        <w:t xml:space="preserve"> приказује </w:t>
      </w:r>
      <w:r w:rsidRPr="00174C16">
        <w:rPr>
          <w:b/>
          <w:lang w:val="sr-Cyrl-RS"/>
        </w:rPr>
        <w:t>промену броја стечајних управника и броја стечајних поступака у извештајном периоду</w:t>
      </w:r>
    </w:p>
    <w:p w:rsidR="00431040" w:rsidRDefault="00431040" w:rsidP="00504F95">
      <w:pPr>
        <w:spacing w:after="120"/>
        <w:rPr>
          <w:lang w:val="sr-Cyrl-RS"/>
        </w:rPr>
      </w:pPr>
    </w:p>
    <w:p w:rsidR="00431040" w:rsidRDefault="00431040" w:rsidP="00504F95">
      <w:pPr>
        <w:spacing w:after="120"/>
        <w:rPr>
          <w:lang w:val="sr-Cyrl-RS"/>
        </w:rPr>
      </w:pPr>
    </w:p>
    <w:p w:rsidR="00431040" w:rsidRDefault="00431040" w:rsidP="00504F95">
      <w:pPr>
        <w:spacing w:after="120"/>
        <w:rPr>
          <w:lang w:val="sr-Cyrl-RS"/>
        </w:rPr>
      </w:pPr>
      <w:r>
        <w:rPr>
          <w:noProof/>
          <w:lang w:eastAsia="en-US"/>
        </w:rPr>
        <w:drawing>
          <wp:inline distT="0" distB="0" distL="0" distR="0" wp14:anchorId="40236A11" wp14:editId="50CB2843">
            <wp:extent cx="5610225" cy="2952750"/>
            <wp:effectExtent l="0" t="0" r="9525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8AAEC3-5E17-4458-B9B3-8AC237DAED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1040" w:rsidRPr="004952CE" w:rsidRDefault="00431040" w:rsidP="00504F95">
      <w:pPr>
        <w:spacing w:after="120"/>
        <w:rPr>
          <w:lang w:val="sr-Cyrl-RS"/>
        </w:rPr>
      </w:pPr>
    </w:p>
    <w:p w:rsidR="00833D8F" w:rsidRPr="00C82509" w:rsidRDefault="00C82509" w:rsidP="00504F95">
      <w:pPr>
        <w:spacing w:after="120"/>
        <w:rPr>
          <w:noProof/>
          <w:lang w:val="sr-Cyrl-RS" w:eastAsia="en-US"/>
        </w:rPr>
      </w:pPr>
      <w:r w:rsidRPr="00174C16">
        <w:rPr>
          <w:noProof/>
          <w:u w:val="single"/>
          <w:lang w:val="sr-Cyrl-RS" w:eastAsia="en-US"/>
        </w:rPr>
        <w:t xml:space="preserve">Графикон </w:t>
      </w:r>
      <w:r w:rsidR="00174C16" w:rsidRPr="00174C16">
        <w:rPr>
          <w:noProof/>
          <w:u w:val="single"/>
          <w:lang w:val="sr-Cyrl-RS" w:eastAsia="en-US"/>
        </w:rPr>
        <w:t>број 2.</w:t>
      </w:r>
      <w:r w:rsidR="00174C16">
        <w:rPr>
          <w:noProof/>
          <w:lang w:val="sr-Cyrl-RS" w:eastAsia="en-US"/>
        </w:rPr>
        <w:t xml:space="preserve"> </w:t>
      </w:r>
      <w:r>
        <w:rPr>
          <w:noProof/>
          <w:lang w:val="sr-Cyrl-RS" w:eastAsia="en-US"/>
        </w:rPr>
        <w:t xml:space="preserve">приказује </w:t>
      </w:r>
      <w:r w:rsidRPr="00174C16">
        <w:rPr>
          <w:b/>
          <w:noProof/>
          <w:lang w:val="sr-Cyrl-RS" w:eastAsia="en-US"/>
        </w:rPr>
        <w:t>број стечајних поступака</w:t>
      </w:r>
      <w:r w:rsidR="00E960EA">
        <w:rPr>
          <w:b/>
          <w:noProof/>
          <w:lang w:val="sr-Cyrl-RS" w:eastAsia="en-US"/>
        </w:rPr>
        <w:t xml:space="preserve"> по стечајном управнику на дан 31 децембар</w:t>
      </w:r>
      <w:r w:rsidRPr="00174C16">
        <w:rPr>
          <w:b/>
          <w:noProof/>
          <w:lang w:val="sr-Cyrl-RS" w:eastAsia="en-US"/>
        </w:rPr>
        <w:t xml:space="preserve"> 2016. године</w:t>
      </w:r>
      <w:r w:rsidR="004A348B">
        <w:rPr>
          <w:noProof/>
          <w:lang w:val="sr-Cyrl-RS" w:eastAsia="en-US"/>
        </w:rPr>
        <w:t>(нпр. укупно 43 стечајна</w:t>
      </w:r>
      <w:r>
        <w:rPr>
          <w:noProof/>
          <w:lang w:val="sr-Cyrl-RS" w:eastAsia="en-US"/>
        </w:rPr>
        <w:t xml:space="preserve"> управник</w:t>
      </w:r>
      <w:r w:rsidR="004A348B">
        <w:rPr>
          <w:noProof/>
          <w:lang w:val="sr-Cyrl-RS" w:eastAsia="en-US"/>
        </w:rPr>
        <w:t>а</w:t>
      </w:r>
      <w:r>
        <w:rPr>
          <w:noProof/>
          <w:lang w:val="sr-Cyrl-RS" w:eastAsia="en-US"/>
        </w:rPr>
        <w:t xml:space="preserve"> има по 1 предмет, </w:t>
      </w:r>
      <w:r w:rsidR="004A348B">
        <w:rPr>
          <w:noProof/>
          <w:lang w:val="sr-Cyrl-RS" w:eastAsia="en-US"/>
        </w:rPr>
        <w:t>60</w:t>
      </w:r>
      <w:r w:rsidR="00084570">
        <w:rPr>
          <w:noProof/>
          <w:lang w:val="sr-Cyrl-RS" w:eastAsia="en-US"/>
        </w:rPr>
        <w:t xml:space="preserve"> стечајни</w:t>
      </w:r>
      <w:r w:rsidR="004A348B">
        <w:rPr>
          <w:noProof/>
          <w:lang w:val="sr-Cyrl-RS" w:eastAsia="en-US"/>
        </w:rPr>
        <w:t>х</w:t>
      </w:r>
      <w:r w:rsidR="00084570">
        <w:rPr>
          <w:noProof/>
          <w:lang w:val="sr-Cyrl-RS" w:eastAsia="en-US"/>
        </w:rPr>
        <w:t xml:space="preserve"> управник</w:t>
      </w:r>
      <w:r w:rsidR="004A348B">
        <w:rPr>
          <w:noProof/>
          <w:lang w:val="sr-Cyrl-RS" w:eastAsia="en-US"/>
        </w:rPr>
        <w:t>а</w:t>
      </w:r>
      <w:r w:rsidR="00084570">
        <w:rPr>
          <w:noProof/>
          <w:lang w:val="sr-Cyrl-RS" w:eastAsia="en-US"/>
        </w:rPr>
        <w:t xml:space="preserve"> има по 2 предмета и даље</w:t>
      </w:r>
      <w:r>
        <w:rPr>
          <w:noProof/>
          <w:lang w:val="sr-Cyrl-RS" w:eastAsia="en-US"/>
        </w:rPr>
        <w:t>)</w:t>
      </w:r>
    </w:p>
    <w:p w:rsidR="00C82509" w:rsidRDefault="00C82509" w:rsidP="00504F95">
      <w:pPr>
        <w:spacing w:after="120"/>
        <w:rPr>
          <w:lang w:val="sr-Cyrl-RS"/>
        </w:rPr>
      </w:pPr>
    </w:p>
    <w:p w:rsidR="004A348B" w:rsidRDefault="004A348B" w:rsidP="00504F95">
      <w:pPr>
        <w:spacing w:after="120"/>
        <w:rPr>
          <w:lang w:val="sr-Cyrl-RS"/>
        </w:rPr>
      </w:pPr>
      <w:r>
        <w:rPr>
          <w:noProof/>
          <w:lang w:eastAsia="en-US"/>
        </w:rPr>
        <w:drawing>
          <wp:inline distT="0" distB="0" distL="0" distR="0" wp14:anchorId="706E704D" wp14:editId="1B2C0A36">
            <wp:extent cx="5953125" cy="2733675"/>
            <wp:effectExtent l="0" t="0" r="9525" b="952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8B1DA0E-3F47-4CE4-9A4D-60BA1A6BC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24F8" w:rsidRDefault="004E24F8" w:rsidP="00504F95">
      <w:pPr>
        <w:spacing w:after="120"/>
        <w:rPr>
          <w:lang w:val="sr-Cyrl-RS"/>
        </w:rPr>
      </w:pPr>
    </w:p>
    <w:p w:rsidR="004E24F8" w:rsidRDefault="00174C16" w:rsidP="00504F95">
      <w:pPr>
        <w:spacing w:after="120"/>
        <w:rPr>
          <w:lang w:val="sr-Cyrl-RS"/>
        </w:rPr>
      </w:pPr>
      <w:r>
        <w:rPr>
          <w:lang w:val="sr-Cyrl-RS"/>
        </w:rPr>
        <w:t>У то</w:t>
      </w:r>
      <w:r w:rsidR="00084570">
        <w:rPr>
          <w:lang w:val="sr-Cyrl-RS"/>
        </w:rPr>
        <w:t>ку извештајног периода укупно</w:t>
      </w:r>
      <w:r>
        <w:rPr>
          <w:lang w:val="sr-Cyrl-RS"/>
        </w:rPr>
        <w:t xml:space="preserve"> 24 стечајних управника добило </w:t>
      </w:r>
      <w:r w:rsidR="00084570">
        <w:rPr>
          <w:lang w:val="sr-Cyrl-RS"/>
        </w:rPr>
        <w:t xml:space="preserve">је </w:t>
      </w:r>
      <w:r>
        <w:rPr>
          <w:lang w:val="sr-Cyrl-RS"/>
        </w:rPr>
        <w:t>свој први предмет</w:t>
      </w:r>
      <w:r w:rsidR="00084570">
        <w:rPr>
          <w:lang w:val="sr-Cyrl-RS"/>
        </w:rPr>
        <w:t xml:space="preserve"> у 9 привредних судова, што је приказано у наставку у </w:t>
      </w:r>
      <w:r w:rsidR="00084570">
        <w:rPr>
          <w:u w:val="single"/>
          <w:lang w:val="sr-Cyrl-RS"/>
        </w:rPr>
        <w:t>табели</w:t>
      </w:r>
      <w:r w:rsidR="0032760E">
        <w:rPr>
          <w:u w:val="single"/>
          <w:lang w:val="sr-Cyrl-RS"/>
        </w:rPr>
        <w:t xml:space="preserve"> број 1</w:t>
      </w:r>
      <w:r w:rsidRPr="00174C16">
        <w:rPr>
          <w:u w:val="single"/>
          <w:lang w:val="sr-Cyrl-RS"/>
        </w:rPr>
        <w:t>.</w:t>
      </w:r>
      <w:r>
        <w:rPr>
          <w:lang w:val="sr-Cyrl-RS"/>
        </w:rPr>
        <w:t xml:space="preserve">  </w:t>
      </w:r>
      <w:r w:rsidR="00084570">
        <w:rPr>
          <w:lang w:val="sr-Cyrl-RS"/>
        </w:rPr>
        <w:t xml:space="preserve">која показује </w:t>
      </w:r>
      <w:r w:rsidRPr="00174C16">
        <w:rPr>
          <w:b/>
          <w:lang w:val="sr-Cyrl-RS"/>
        </w:rPr>
        <w:t>расподе</w:t>
      </w:r>
      <w:r w:rsidR="00084570">
        <w:rPr>
          <w:b/>
          <w:lang w:val="sr-Cyrl-RS"/>
        </w:rPr>
        <w:t>лу</w:t>
      </w:r>
      <w:r w:rsidRPr="00174C16">
        <w:rPr>
          <w:b/>
          <w:lang w:val="sr-Cyrl-RS"/>
        </w:rPr>
        <w:t xml:space="preserve"> нових стечајних управника по привредним судовима у Србији</w:t>
      </w:r>
      <w:r>
        <w:rPr>
          <w:lang w:val="sr-Cyrl-RS"/>
        </w:rPr>
        <w:t>.</w:t>
      </w:r>
    </w:p>
    <w:p w:rsidR="004E24F8" w:rsidRDefault="004E24F8" w:rsidP="00504F95">
      <w:pPr>
        <w:spacing w:after="120"/>
        <w:rPr>
          <w:lang w:val="sr-Cyrl-RS"/>
        </w:rPr>
      </w:pPr>
    </w:p>
    <w:tbl>
      <w:tblPr>
        <w:tblStyle w:val="FinancialTable"/>
        <w:tblW w:w="6475" w:type="dxa"/>
        <w:jc w:val="center"/>
        <w:tblLook w:val="04A0" w:firstRow="1" w:lastRow="0" w:firstColumn="1" w:lastColumn="0" w:noHBand="0" w:noVBand="1"/>
      </w:tblPr>
      <w:tblGrid>
        <w:gridCol w:w="960"/>
        <w:gridCol w:w="1180"/>
        <w:gridCol w:w="960"/>
        <w:gridCol w:w="1125"/>
        <w:gridCol w:w="1080"/>
        <w:gridCol w:w="1170"/>
      </w:tblGrid>
      <w:tr w:rsidR="00B876BD" w:rsidRPr="00B876BD" w:rsidTr="00643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 w:val="restart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Ред. број</w:t>
            </w:r>
          </w:p>
        </w:tc>
        <w:tc>
          <w:tcPr>
            <w:tcW w:w="1180" w:type="dxa"/>
            <w:vMerge w:val="restart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Привредни суд</w:t>
            </w:r>
          </w:p>
        </w:tc>
        <w:tc>
          <w:tcPr>
            <w:tcW w:w="960" w:type="dxa"/>
            <w:vMerge w:val="restart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Број СУ</w:t>
            </w:r>
          </w:p>
        </w:tc>
        <w:tc>
          <w:tcPr>
            <w:tcW w:w="1125" w:type="dxa"/>
            <w:vMerge w:val="restart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Укупан број предмета нових СУ</w:t>
            </w:r>
          </w:p>
        </w:tc>
        <w:tc>
          <w:tcPr>
            <w:tcW w:w="2250" w:type="dxa"/>
            <w:gridSpan w:val="2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Од тога са ЛВ</w:t>
            </w:r>
          </w:p>
        </w:tc>
      </w:tr>
      <w:tr w:rsidR="00B876BD" w:rsidRPr="00B876BD" w:rsidTr="00643C51">
        <w:trPr>
          <w:trHeight w:val="7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Merge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преко 120 милиона динара</w:t>
            </w: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преко 600 милиона динара</w:t>
            </w:r>
          </w:p>
        </w:tc>
      </w:tr>
      <w:tr w:rsidR="00B876BD" w:rsidRPr="00B876BD" w:rsidTr="00B8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1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Београд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20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</w:tr>
      <w:tr w:rsidR="00B876BD" w:rsidRPr="00B876BD" w:rsidTr="00B876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2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Ваљево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3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Крагујевац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4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Краљево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5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Ниш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</w:tr>
      <w:tr w:rsidR="00B876BD" w:rsidRPr="00B876BD" w:rsidTr="00B876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6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Нови Сад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3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7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Пожаревац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8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Сомбор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  <w:r w:rsidRPr="00B876BD"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  <w:t>9</w:t>
            </w:r>
          </w:p>
        </w:tc>
        <w:tc>
          <w:tcPr>
            <w:tcW w:w="11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Суботица</w:t>
            </w:r>
          </w:p>
        </w:tc>
        <w:tc>
          <w:tcPr>
            <w:tcW w:w="96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4</w:t>
            </w:r>
          </w:p>
        </w:tc>
        <w:tc>
          <w:tcPr>
            <w:tcW w:w="108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  <w:tc>
          <w:tcPr>
            <w:tcW w:w="1170" w:type="dxa"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</w:p>
        </w:tc>
      </w:tr>
      <w:tr w:rsidR="00B876BD" w:rsidRPr="00B876BD" w:rsidTr="00B876BD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38352D" w:themeColor="text2" w:themeShade="BF"/>
                <w:sz w:val="20"/>
                <w:lang w:eastAsia="en-US"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Укупно</w:t>
            </w:r>
          </w:p>
        </w:tc>
        <w:tc>
          <w:tcPr>
            <w:tcW w:w="960" w:type="dxa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24</w:t>
            </w:r>
          </w:p>
        </w:tc>
        <w:tc>
          <w:tcPr>
            <w:tcW w:w="1125" w:type="dxa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39</w:t>
            </w:r>
          </w:p>
        </w:tc>
        <w:tc>
          <w:tcPr>
            <w:tcW w:w="1080" w:type="dxa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4</w:t>
            </w:r>
          </w:p>
        </w:tc>
        <w:tc>
          <w:tcPr>
            <w:tcW w:w="1170" w:type="dxa"/>
            <w:noWrap/>
            <w:vAlign w:val="center"/>
            <w:hideMark/>
          </w:tcPr>
          <w:p w:rsidR="00B876BD" w:rsidRPr="00B876BD" w:rsidRDefault="00B876BD" w:rsidP="00B876B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52D" w:themeColor="text2" w:themeShade="BF"/>
                <w:lang w:eastAsia="en-US"/>
              </w:rPr>
            </w:pPr>
            <w:r w:rsidRPr="00B876BD">
              <w:rPr>
                <w:rFonts w:eastAsia="Times New Roman" w:cs="Times New Roman"/>
                <w:color w:val="38352D" w:themeColor="text2" w:themeShade="BF"/>
                <w:lang w:eastAsia="en-US"/>
              </w:rPr>
              <w:t>2</w:t>
            </w:r>
          </w:p>
        </w:tc>
      </w:tr>
    </w:tbl>
    <w:p w:rsidR="00677E53" w:rsidRDefault="00643C51" w:rsidP="00504F95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*ЛВ – ликвидациона вредност имовине стечајног дужника из ЕФИ</w:t>
      </w:r>
      <w:r w:rsidR="008E7ECD">
        <w:rPr>
          <w:rStyle w:val="FootnoteReference"/>
          <w:lang w:val="sr-Cyrl-RS"/>
        </w:rPr>
        <w:footnoteReference w:id="1"/>
      </w:r>
      <w:r>
        <w:rPr>
          <w:lang w:val="sr-Cyrl-RS"/>
        </w:rPr>
        <w:t>-ја</w:t>
      </w:r>
    </w:p>
    <w:p w:rsidR="003868DC" w:rsidRDefault="003868DC" w:rsidP="00504F95">
      <w:pPr>
        <w:spacing w:after="120"/>
        <w:rPr>
          <w:lang w:val="sr-Cyrl-RS"/>
        </w:rPr>
      </w:pPr>
    </w:p>
    <w:p w:rsidR="008A4D8F" w:rsidRPr="00C82509" w:rsidRDefault="008A4D8F" w:rsidP="008A4D8F">
      <w:pPr>
        <w:spacing w:after="120"/>
        <w:rPr>
          <w:noProof/>
          <w:lang w:val="sr-Cyrl-RS" w:eastAsia="en-US"/>
        </w:rPr>
      </w:pPr>
      <w:r w:rsidRPr="00174C16">
        <w:rPr>
          <w:noProof/>
          <w:u w:val="single"/>
          <w:lang w:val="sr-Cyrl-RS" w:eastAsia="en-US"/>
        </w:rPr>
        <w:t xml:space="preserve">Графикон број </w:t>
      </w:r>
      <w:r w:rsidR="0032760E">
        <w:rPr>
          <w:noProof/>
          <w:u w:val="single"/>
          <w:lang w:val="sr-Cyrl-RS" w:eastAsia="en-US"/>
        </w:rPr>
        <w:t>3</w:t>
      </w:r>
      <w:r w:rsidRPr="00174C16">
        <w:rPr>
          <w:noProof/>
          <w:u w:val="single"/>
          <w:lang w:val="sr-Cyrl-RS" w:eastAsia="en-US"/>
        </w:rPr>
        <w:t>.</w:t>
      </w:r>
      <w:r>
        <w:rPr>
          <w:noProof/>
          <w:lang w:val="sr-Cyrl-RS" w:eastAsia="en-US"/>
        </w:rPr>
        <w:t xml:space="preserve"> приказује </w:t>
      </w:r>
      <w:r w:rsidRPr="00174C16">
        <w:rPr>
          <w:b/>
          <w:noProof/>
          <w:lang w:val="sr-Cyrl-RS" w:eastAsia="en-US"/>
        </w:rPr>
        <w:t xml:space="preserve">број стечајних </w:t>
      </w:r>
      <w:r>
        <w:rPr>
          <w:b/>
          <w:noProof/>
          <w:lang w:val="sr-Cyrl-RS" w:eastAsia="en-US"/>
        </w:rPr>
        <w:t>дужника према ликвидационој вредности која је евидентирана у  извештају</w:t>
      </w:r>
      <w:r w:rsidRPr="008A4D8F">
        <w:rPr>
          <w:b/>
          <w:noProof/>
          <w:lang w:val="sr-Cyrl-RS" w:eastAsia="en-US"/>
        </w:rPr>
        <w:t> о економско финансијском положају стечајног дужника</w:t>
      </w:r>
      <w:r w:rsidRPr="00174C16">
        <w:rPr>
          <w:b/>
          <w:noProof/>
          <w:lang w:val="sr-Cyrl-RS" w:eastAsia="en-US"/>
        </w:rPr>
        <w:t xml:space="preserve"> на дан </w:t>
      </w:r>
      <w:r w:rsidR="00E2197E">
        <w:rPr>
          <w:b/>
          <w:noProof/>
          <w:lang w:val="sr-Cyrl-RS" w:eastAsia="en-US"/>
        </w:rPr>
        <w:t>3</w:t>
      </w:r>
      <w:r w:rsidRPr="00174C16">
        <w:rPr>
          <w:b/>
          <w:noProof/>
          <w:lang w:val="sr-Cyrl-RS" w:eastAsia="en-US"/>
        </w:rPr>
        <w:t xml:space="preserve">1. </w:t>
      </w:r>
      <w:r w:rsidR="00E2197E">
        <w:rPr>
          <w:b/>
          <w:noProof/>
          <w:lang w:val="sr-Cyrl-RS" w:eastAsia="en-US"/>
        </w:rPr>
        <w:t>деце</w:t>
      </w:r>
      <w:r w:rsidR="00D90355">
        <w:rPr>
          <w:b/>
          <w:noProof/>
          <w:lang w:val="sr-Cyrl-RS" w:eastAsia="en-US"/>
        </w:rPr>
        <w:t>м</w:t>
      </w:r>
      <w:bookmarkStart w:id="3" w:name="_GoBack"/>
      <w:bookmarkEnd w:id="3"/>
      <w:r w:rsidR="00E2197E">
        <w:rPr>
          <w:b/>
          <w:noProof/>
          <w:lang w:val="sr-Cyrl-RS" w:eastAsia="en-US"/>
        </w:rPr>
        <w:t>бар</w:t>
      </w:r>
      <w:r w:rsidRPr="00174C16">
        <w:rPr>
          <w:b/>
          <w:noProof/>
          <w:lang w:val="sr-Cyrl-RS" w:eastAsia="en-US"/>
        </w:rPr>
        <w:t xml:space="preserve"> 2016. године</w:t>
      </w:r>
      <w:r>
        <w:rPr>
          <w:noProof/>
          <w:lang w:val="sr-Cyrl-RS" w:eastAsia="en-US"/>
        </w:rPr>
        <w:t>.</w:t>
      </w:r>
    </w:p>
    <w:p w:rsidR="008A4D8F" w:rsidRDefault="008A4D8F" w:rsidP="008A4D8F">
      <w:pPr>
        <w:spacing w:after="120"/>
        <w:jc w:val="center"/>
        <w:rPr>
          <w:lang w:val="sr-Cyrl-RS"/>
        </w:rPr>
      </w:pPr>
    </w:p>
    <w:p w:rsidR="00E2197E" w:rsidRDefault="000D21B7" w:rsidP="008A4D8F">
      <w:pPr>
        <w:spacing w:after="120"/>
        <w:jc w:val="center"/>
        <w:rPr>
          <w:lang w:val="sr-Cyrl-RS"/>
        </w:rPr>
      </w:pPr>
      <w:r>
        <w:rPr>
          <w:noProof/>
          <w:lang w:eastAsia="en-US"/>
        </w:rPr>
        <w:drawing>
          <wp:inline distT="0" distB="0" distL="0" distR="0" wp14:anchorId="68D8B8E8" wp14:editId="2C727425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FE44B8-D1FD-41EF-976F-879ACF2B7E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197E" w:rsidRDefault="00E2197E" w:rsidP="008A4D8F">
      <w:pPr>
        <w:spacing w:after="120"/>
        <w:jc w:val="center"/>
        <w:rPr>
          <w:lang w:val="sr-Cyrl-RS"/>
        </w:rPr>
      </w:pPr>
    </w:p>
    <w:p w:rsidR="00E2197E" w:rsidRDefault="00E2197E" w:rsidP="008A4D8F">
      <w:pPr>
        <w:spacing w:after="120"/>
        <w:jc w:val="center"/>
        <w:rPr>
          <w:lang w:val="sr-Cyrl-RS"/>
        </w:rPr>
      </w:pPr>
    </w:p>
    <w:p w:rsidR="00E2197E" w:rsidRDefault="00E2197E" w:rsidP="008A4D8F">
      <w:pPr>
        <w:spacing w:after="120"/>
        <w:jc w:val="center"/>
        <w:rPr>
          <w:lang w:val="sr-Cyrl-RS"/>
        </w:rPr>
      </w:pPr>
    </w:p>
    <w:p w:rsidR="00E2197E" w:rsidRDefault="00E2197E" w:rsidP="00DA3CA8">
      <w:pPr>
        <w:spacing w:after="120"/>
        <w:rPr>
          <w:lang w:val="sr-Cyrl-RS"/>
        </w:rPr>
      </w:pPr>
    </w:p>
    <w:p w:rsidR="00174C16" w:rsidRPr="00C20025" w:rsidRDefault="00174C16" w:rsidP="00504F95">
      <w:pPr>
        <w:spacing w:after="120"/>
        <w:rPr>
          <w:lang w:val="sr-Cyrl-RS"/>
        </w:rPr>
      </w:pPr>
    </w:p>
    <w:p w:rsidR="00203BCC" w:rsidRPr="006F16D7" w:rsidRDefault="00736A46">
      <w:pPr>
        <w:pStyle w:val="Heading2"/>
        <w:rPr>
          <w:lang w:val="sr-Cyrl-RS"/>
        </w:rPr>
      </w:pPr>
      <w:bookmarkStart w:id="4" w:name="OLE_LINK1"/>
      <w:bookmarkStart w:id="5" w:name="_Toc467576825"/>
      <w:r>
        <w:rPr>
          <w:lang w:val="sr-Cyrl-RS"/>
        </w:rPr>
        <w:t xml:space="preserve">Надзор увидом и анализом </w:t>
      </w:r>
      <w:bookmarkEnd w:id="4"/>
      <w:r>
        <w:rPr>
          <w:lang w:val="sr-Cyrl-RS"/>
        </w:rPr>
        <w:t>– Национални стандард број 4</w:t>
      </w:r>
      <w:bookmarkEnd w:id="5"/>
    </w:p>
    <w:p w:rsidR="003151F6" w:rsidRDefault="003151F6" w:rsidP="00CE777C">
      <w:pPr>
        <w:spacing w:after="0"/>
        <w:jc w:val="both"/>
        <w:rPr>
          <w:lang w:val="sr-Cyrl-RS"/>
        </w:rPr>
      </w:pPr>
    </w:p>
    <w:p w:rsidR="003151F6" w:rsidRDefault="003151F6" w:rsidP="00CE777C">
      <w:pPr>
        <w:jc w:val="both"/>
        <w:rPr>
          <w:lang w:val="sr-Cyrl-RS"/>
        </w:rPr>
      </w:pPr>
      <w:r w:rsidRPr="003151F6">
        <w:rPr>
          <w:lang w:val="sr-Cyrl-RS"/>
        </w:rPr>
        <w:t xml:space="preserve">У току извештајног периода </w:t>
      </w:r>
      <w:r w:rsidRPr="00F1037A">
        <w:rPr>
          <w:lang w:val="sr-Cyrl-RS"/>
        </w:rPr>
        <w:t xml:space="preserve">извршен је надзор увидом и анализом документације коју стечајни управници достављају у складу са одредбама Правилника о утврђивању националних стандарда за управљање стечајном масом („Службени гласник РС“, број 13/10), Националног стандарда о извештавању и обавештавању Агенције за  лиценцирање стечајних управника, Национални стандард број 4, и то укупно </w:t>
      </w:r>
      <w:r w:rsidR="00CA334F">
        <w:rPr>
          <w:b/>
          <w:lang w:val="sr-Cyrl-RS"/>
        </w:rPr>
        <w:t>13.476</w:t>
      </w:r>
      <w:r w:rsidRPr="00F1037A">
        <w:rPr>
          <w:b/>
          <w:lang w:val="sr-Cyrl-RS"/>
        </w:rPr>
        <w:t xml:space="preserve"> докум</w:t>
      </w:r>
      <w:r w:rsidR="00960789" w:rsidRPr="00F1037A">
        <w:rPr>
          <w:b/>
          <w:lang w:val="sr-Cyrl-RS"/>
        </w:rPr>
        <w:t xml:space="preserve">ената, од чега </w:t>
      </w:r>
      <w:r w:rsidR="00F1037A" w:rsidRPr="00F1037A">
        <w:rPr>
          <w:b/>
          <w:lang w:val="sr-Cyrl-RS"/>
        </w:rPr>
        <w:t>6.517</w:t>
      </w:r>
      <w:r w:rsidR="00960789" w:rsidRPr="00F1037A">
        <w:rPr>
          <w:b/>
          <w:lang w:val="sr-Cyrl-RS"/>
        </w:rPr>
        <w:t xml:space="preserve"> тромесечни извештај</w:t>
      </w:r>
      <w:r w:rsidRPr="00F1037A">
        <w:rPr>
          <w:b/>
          <w:lang w:val="sr-Cyrl-RS"/>
        </w:rPr>
        <w:t xml:space="preserve"> и </w:t>
      </w:r>
      <w:r w:rsidR="00082041">
        <w:rPr>
          <w:b/>
          <w:lang w:val="sr-Cyrl-RS"/>
        </w:rPr>
        <w:t>6.959</w:t>
      </w:r>
      <w:r w:rsidRPr="00F1037A">
        <w:rPr>
          <w:b/>
          <w:lang w:val="sr-Cyrl-RS"/>
        </w:rPr>
        <w:t xml:space="preserve"> остале документације</w:t>
      </w:r>
      <w:r w:rsidRPr="00F1037A">
        <w:rPr>
          <w:lang w:val="sr-Cyrl-RS"/>
        </w:rPr>
        <w:t xml:space="preserve"> (ЕФИ, документација о продаји, намирењу</w:t>
      </w:r>
      <w:r>
        <w:rPr>
          <w:lang w:val="sr-Cyrl-RS"/>
        </w:rPr>
        <w:t xml:space="preserve"> поверилаца, завршни рачуни и др.)</w:t>
      </w:r>
      <w:r w:rsidR="00C91D7D">
        <w:rPr>
          <w:lang w:val="sr-Cyrl-RS"/>
        </w:rPr>
        <w:t>.</w:t>
      </w:r>
    </w:p>
    <w:p w:rsidR="00260281" w:rsidRDefault="00C91D7D" w:rsidP="00EA505E">
      <w:pPr>
        <w:spacing w:after="0"/>
        <w:rPr>
          <w:lang w:val="sr-Cyrl-RS"/>
        </w:rPr>
      </w:pPr>
      <w:r>
        <w:rPr>
          <w:lang w:val="sr-Cyrl-RS"/>
        </w:rPr>
        <w:t>И</w:t>
      </w:r>
      <w:r w:rsidRPr="00C91D7D">
        <w:rPr>
          <w:lang w:val="sr-Cyrl-RS"/>
        </w:rPr>
        <w:t xml:space="preserve">мајући у виду значајну вредност стечајне масе у поступцима </w:t>
      </w:r>
      <w:r>
        <w:rPr>
          <w:lang w:val="sr-Cyrl-RS"/>
        </w:rPr>
        <w:t xml:space="preserve">са ликвидационом вредношћу преко 120 милиона динара, по захтеву Агенције, почев од септембра 2016. године, стечајни управници достављају </w:t>
      </w:r>
      <w:r w:rsidRPr="00260281">
        <w:rPr>
          <w:b/>
          <w:lang w:val="sr-Cyrl-RS"/>
        </w:rPr>
        <w:t xml:space="preserve">извештаје о току стечајног поступка и стању </w:t>
      </w:r>
      <w:r w:rsidR="00CE777C">
        <w:rPr>
          <w:b/>
          <w:lang w:val="sr-Cyrl-RS"/>
        </w:rPr>
        <w:t xml:space="preserve">стечајне масе </w:t>
      </w:r>
      <w:r w:rsidRPr="00260281">
        <w:rPr>
          <w:b/>
          <w:lang w:val="sr-Cyrl-RS"/>
        </w:rPr>
        <w:t>у поступку за предмете велике ликвидационе вредности</w:t>
      </w:r>
      <w:r w:rsidRPr="00C91D7D">
        <w:rPr>
          <w:lang w:val="sr-Cyrl-RS"/>
        </w:rPr>
        <w:t xml:space="preserve">. </w:t>
      </w:r>
      <w:r w:rsidR="00260281">
        <w:rPr>
          <w:lang w:val="sr-Cyrl-RS"/>
        </w:rPr>
        <w:t xml:space="preserve">Наведени извештаји садрже следеће </w:t>
      </w:r>
      <w:r w:rsidR="00EA505E">
        <w:rPr>
          <w:lang w:val="sr-Cyrl-RS"/>
        </w:rPr>
        <w:t>податке:</w:t>
      </w:r>
    </w:p>
    <w:p w:rsidR="00260281" w:rsidRPr="00260281" w:rsidRDefault="00260281" w:rsidP="00EA505E">
      <w:pPr>
        <w:pStyle w:val="ListParagraph"/>
        <w:numPr>
          <w:ilvl w:val="0"/>
          <w:numId w:val="20"/>
        </w:numPr>
        <w:tabs>
          <w:tab w:val="left" w:pos="1170"/>
        </w:tabs>
        <w:ind w:left="1440" w:hanging="630"/>
        <w:rPr>
          <w:lang w:val="sr-Cyrl-RS"/>
        </w:rPr>
      </w:pPr>
      <w:r w:rsidRPr="00260281">
        <w:rPr>
          <w:lang w:val="sr-Cyrl-RS"/>
        </w:rPr>
        <w:t>Отварање поступка, именовање стечајног управника и преузимање дужности</w:t>
      </w:r>
    </w:p>
    <w:p w:rsidR="00260281" w:rsidRDefault="00260281" w:rsidP="00EA505E">
      <w:pPr>
        <w:pStyle w:val="ListParagraph"/>
        <w:numPr>
          <w:ilvl w:val="0"/>
          <w:numId w:val="20"/>
        </w:numPr>
        <w:tabs>
          <w:tab w:val="left" w:pos="1170"/>
        </w:tabs>
        <w:ind w:left="1440" w:hanging="630"/>
        <w:rPr>
          <w:lang w:val="sr-Cyrl-RS"/>
        </w:rPr>
      </w:pPr>
      <w:r w:rsidRPr="00260281">
        <w:rPr>
          <w:lang w:val="sr-Cyrl-RS"/>
        </w:rPr>
        <w:t>Главне спроведене активности у поступку</w:t>
      </w:r>
    </w:p>
    <w:p w:rsidR="00260281" w:rsidRPr="00EA505E" w:rsidRDefault="00260281" w:rsidP="00EA505E">
      <w:pPr>
        <w:pStyle w:val="ListParagraph"/>
        <w:numPr>
          <w:ilvl w:val="0"/>
          <w:numId w:val="20"/>
        </w:numPr>
        <w:tabs>
          <w:tab w:val="left" w:pos="1170"/>
        </w:tabs>
        <w:ind w:left="1440" w:hanging="630"/>
        <w:rPr>
          <w:lang w:val="sr-Cyrl-RS"/>
        </w:rPr>
      </w:pPr>
      <w:r w:rsidRPr="00260281">
        <w:rPr>
          <w:lang w:val="sr-Cyrl-RS"/>
        </w:rPr>
        <w:t>Кључни проблеми и тренутно стање у поступку</w:t>
      </w:r>
    </w:p>
    <w:p w:rsidR="00260281" w:rsidRPr="00260281" w:rsidRDefault="00260281" w:rsidP="00EA505E">
      <w:pPr>
        <w:pStyle w:val="ListParagraph"/>
        <w:numPr>
          <w:ilvl w:val="0"/>
          <w:numId w:val="20"/>
        </w:numPr>
        <w:tabs>
          <w:tab w:val="left" w:pos="1170"/>
        </w:tabs>
        <w:ind w:left="1440" w:hanging="630"/>
        <w:rPr>
          <w:lang w:val="sr-Cyrl-RS"/>
        </w:rPr>
      </w:pPr>
      <w:r w:rsidRPr="00260281">
        <w:rPr>
          <w:lang w:val="sr-Cyrl-RS"/>
        </w:rPr>
        <w:t xml:space="preserve">Активности у последњем кварталу </w:t>
      </w:r>
    </w:p>
    <w:p w:rsidR="00C91D7D" w:rsidRDefault="00EA505E" w:rsidP="00C91D7D">
      <w:pPr>
        <w:rPr>
          <w:lang w:val="sr-Cyrl-RS"/>
        </w:rPr>
      </w:pPr>
      <w:r>
        <w:rPr>
          <w:lang w:val="sr-Cyrl-RS"/>
        </w:rPr>
        <w:t xml:space="preserve">У наставку је </w:t>
      </w:r>
      <w:r w:rsidRPr="002471CA">
        <w:rPr>
          <w:u w:val="single"/>
          <w:lang w:val="sr-Cyrl-RS"/>
        </w:rPr>
        <w:t>табела</w:t>
      </w:r>
      <w:r w:rsidR="002471CA" w:rsidRPr="002471CA">
        <w:rPr>
          <w:u w:val="single"/>
          <w:lang w:val="sr-Cyrl-RS"/>
        </w:rPr>
        <w:t xml:space="preserve"> број 2.</w:t>
      </w:r>
      <w:r>
        <w:rPr>
          <w:lang w:val="sr-Cyrl-RS"/>
        </w:rPr>
        <w:t xml:space="preserve"> са </w:t>
      </w:r>
      <w:r w:rsidRPr="002471CA">
        <w:rPr>
          <w:b/>
          <w:lang w:val="sr-Cyrl-RS"/>
        </w:rPr>
        <w:t>подацима о извршеним испитивањима рада стечајних управника надзором увидом и анализом у извештајном периоду</w:t>
      </w:r>
      <w:r>
        <w:rPr>
          <w:lang w:val="sr-Cyrl-RS"/>
        </w:rPr>
        <w:t>.</w:t>
      </w:r>
    </w:p>
    <w:tbl>
      <w:tblPr>
        <w:tblStyle w:val="FinancialTable"/>
        <w:tblW w:w="4600" w:type="dxa"/>
        <w:jc w:val="center"/>
        <w:tblLook w:val="04A0" w:firstRow="1" w:lastRow="0" w:firstColumn="1" w:lastColumn="0" w:noHBand="0" w:noVBand="1"/>
      </w:tblPr>
      <w:tblGrid>
        <w:gridCol w:w="4120"/>
        <w:gridCol w:w="480"/>
      </w:tblGrid>
      <w:tr w:rsidR="00EA505E" w:rsidRPr="00EA505E" w:rsidTr="001B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0" w:type="dxa"/>
            <w:gridSpan w:val="2"/>
            <w:noWrap/>
            <w:hideMark/>
          </w:tcPr>
          <w:p w:rsidR="00EA505E" w:rsidRPr="00EA505E" w:rsidRDefault="00EA505E" w:rsidP="00EA505E">
            <w:pPr>
              <w:spacing w:after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</w:pPr>
            <w:r w:rsidRPr="00EA505E"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  <w:t>Надзор увидом и анализом</w:t>
            </w:r>
          </w:p>
        </w:tc>
      </w:tr>
      <w:tr w:rsidR="00EA505E" w:rsidRPr="00EA505E" w:rsidTr="001B63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EA505E" w:rsidRPr="00EA505E" w:rsidRDefault="00EA505E" w:rsidP="00EA505E">
            <w:pPr>
              <w:spacing w:after="0"/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</w:pPr>
            <w:r w:rsidRPr="00EA505E"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  <w:t>Укупан број поступака</w:t>
            </w:r>
          </w:p>
        </w:tc>
        <w:tc>
          <w:tcPr>
            <w:tcW w:w="480" w:type="dxa"/>
            <w:noWrap/>
            <w:hideMark/>
          </w:tcPr>
          <w:p w:rsidR="00EA505E" w:rsidRPr="00EA505E" w:rsidRDefault="00EA505E" w:rsidP="00EA505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US"/>
              </w:rPr>
            </w:pPr>
            <w:r w:rsidRPr="00EA505E">
              <w:rPr>
                <w:rFonts w:eastAsia="Times New Roman" w:cs="Times New Roman"/>
                <w:color w:val="000000"/>
                <w:lang w:eastAsia="en-US"/>
              </w:rPr>
              <w:t>18</w:t>
            </w:r>
          </w:p>
        </w:tc>
      </w:tr>
      <w:tr w:rsidR="00EA505E" w:rsidRPr="00EA505E" w:rsidTr="001B6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EA505E" w:rsidRPr="00EA505E" w:rsidRDefault="00EA505E" w:rsidP="00EA505E">
            <w:pPr>
              <w:spacing w:after="0"/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</w:pPr>
            <w:r w:rsidRPr="00EA505E"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  <w:t>Број поступака у току</w:t>
            </w:r>
          </w:p>
        </w:tc>
        <w:tc>
          <w:tcPr>
            <w:tcW w:w="480" w:type="dxa"/>
            <w:noWrap/>
            <w:hideMark/>
          </w:tcPr>
          <w:p w:rsidR="00EA505E" w:rsidRPr="001A028F" w:rsidRDefault="001A028F" w:rsidP="00EA505E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r-Cyrl-RS" w:eastAsia="en-US"/>
              </w:rPr>
            </w:pPr>
            <w:r>
              <w:rPr>
                <w:rFonts w:eastAsia="Times New Roman" w:cs="Times New Roman"/>
                <w:color w:val="000000"/>
                <w:lang w:val="sr-Cyrl-RS" w:eastAsia="en-US"/>
              </w:rPr>
              <w:t>2</w:t>
            </w:r>
          </w:p>
        </w:tc>
      </w:tr>
      <w:tr w:rsidR="00EA505E" w:rsidRPr="00EA505E" w:rsidTr="001B63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EA505E" w:rsidRPr="00EA505E" w:rsidRDefault="00EA505E" w:rsidP="00EA505E">
            <w:pPr>
              <w:spacing w:after="0"/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</w:pPr>
            <w:r w:rsidRPr="00EA505E"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  <w:t>Број завршених поступака</w:t>
            </w:r>
          </w:p>
        </w:tc>
        <w:tc>
          <w:tcPr>
            <w:tcW w:w="480" w:type="dxa"/>
            <w:noWrap/>
            <w:hideMark/>
          </w:tcPr>
          <w:p w:rsidR="00EA505E" w:rsidRPr="001A028F" w:rsidRDefault="001A028F" w:rsidP="00EA505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val="sr-Cyrl-RS" w:eastAsia="en-US"/>
              </w:rPr>
            </w:pPr>
            <w:r>
              <w:rPr>
                <w:rFonts w:eastAsia="Times New Roman" w:cs="Times New Roman"/>
                <w:color w:val="000000"/>
                <w:lang w:val="sr-Cyrl-RS" w:eastAsia="en-US"/>
              </w:rPr>
              <w:t>16</w:t>
            </w:r>
          </w:p>
        </w:tc>
      </w:tr>
      <w:tr w:rsidR="00EA505E" w:rsidRPr="00EA505E" w:rsidTr="001B6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EA505E" w:rsidRPr="00EA505E" w:rsidRDefault="00EA505E" w:rsidP="00EA505E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</w:pPr>
            <w:r w:rsidRPr="00EA505E"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  <w:t>са утврђеним неправилностима</w:t>
            </w:r>
          </w:p>
        </w:tc>
        <w:tc>
          <w:tcPr>
            <w:tcW w:w="480" w:type="dxa"/>
            <w:noWrap/>
            <w:hideMark/>
          </w:tcPr>
          <w:p w:rsidR="00EA505E" w:rsidRPr="00EA505E" w:rsidRDefault="00EA505E" w:rsidP="00EA505E">
            <w:pPr>
              <w:spacing w:after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US"/>
              </w:rPr>
            </w:pPr>
            <w:r w:rsidRPr="00EA505E">
              <w:rPr>
                <w:rFonts w:eastAsia="Times New Roman" w:cs="Times New Roman"/>
                <w:color w:val="000000"/>
                <w:lang w:eastAsia="en-US"/>
              </w:rPr>
              <w:t>7</w:t>
            </w:r>
          </w:p>
        </w:tc>
      </w:tr>
      <w:tr w:rsidR="00EA505E" w:rsidRPr="00EA505E" w:rsidTr="001B636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dxa"/>
            <w:noWrap/>
            <w:hideMark/>
          </w:tcPr>
          <w:p w:rsidR="00EA505E" w:rsidRPr="00EA505E" w:rsidRDefault="00EA505E" w:rsidP="00EA505E">
            <w:pPr>
              <w:spacing w:after="0"/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</w:pPr>
            <w:r w:rsidRPr="00EA505E">
              <w:rPr>
                <w:rFonts w:asciiTheme="minorHAnsi" w:eastAsia="Times New Roman" w:hAnsiTheme="minorHAnsi" w:cs="Times New Roman"/>
                <w:color w:val="000000"/>
                <w:sz w:val="20"/>
                <w:lang w:eastAsia="en-US"/>
              </w:rPr>
              <w:t>без утврђених неправилности</w:t>
            </w:r>
          </w:p>
        </w:tc>
        <w:tc>
          <w:tcPr>
            <w:tcW w:w="480" w:type="dxa"/>
            <w:noWrap/>
            <w:hideMark/>
          </w:tcPr>
          <w:p w:rsidR="00EA505E" w:rsidRPr="00D84214" w:rsidRDefault="00D84214" w:rsidP="00EA505E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9</w:t>
            </w:r>
          </w:p>
        </w:tc>
      </w:tr>
    </w:tbl>
    <w:p w:rsidR="00EA505E" w:rsidRDefault="00EA505E" w:rsidP="00C91D7D">
      <w:pPr>
        <w:rPr>
          <w:lang w:val="sr-Cyrl-RS"/>
        </w:rPr>
      </w:pPr>
    </w:p>
    <w:p w:rsidR="00F60E47" w:rsidRDefault="00F60E47" w:rsidP="00AC09CC">
      <w:pPr>
        <w:spacing w:after="0"/>
        <w:rPr>
          <w:lang w:val="sr-Cyrl-RS"/>
        </w:rPr>
      </w:pPr>
      <w:r>
        <w:rPr>
          <w:lang w:val="sr-Cyrl-RS"/>
        </w:rPr>
        <w:t>У</w:t>
      </w:r>
      <w:r w:rsidR="00AC09CC">
        <w:rPr>
          <w:lang w:val="sr-Cyrl-RS"/>
        </w:rPr>
        <w:t xml:space="preserve"> наставку наводимо</w:t>
      </w:r>
      <w:r>
        <w:rPr>
          <w:lang w:val="sr-Cyrl-RS"/>
        </w:rPr>
        <w:t xml:space="preserve"> </w:t>
      </w:r>
      <w:r w:rsidR="00AC09CC">
        <w:rPr>
          <w:lang w:val="sr-Cyrl-RS"/>
        </w:rPr>
        <w:t xml:space="preserve">опис </w:t>
      </w:r>
      <w:r w:rsidR="00CF5105">
        <w:rPr>
          <w:lang w:val="sr-Cyrl-RS"/>
        </w:rPr>
        <w:t xml:space="preserve">најчешћих </w:t>
      </w:r>
      <w:r w:rsidR="00AC09CC">
        <w:rPr>
          <w:lang w:val="sr-Cyrl-RS"/>
        </w:rPr>
        <w:t>утврђених неправилности</w:t>
      </w:r>
      <w:r>
        <w:rPr>
          <w:lang w:val="sr-Cyrl-RS"/>
        </w:rPr>
        <w:t xml:space="preserve"> у раду стечајних управника:</w:t>
      </w:r>
    </w:p>
    <w:p w:rsidR="00132739" w:rsidRPr="00132739" w:rsidRDefault="00132739" w:rsidP="0013273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lang w:val="sr-Cyrl-CS"/>
        </w:rPr>
      </w:pPr>
      <w:r>
        <w:rPr>
          <w:lang w:val="sr-Cyrl-RS"/>
        </w:rPr>
        <w:t xml:space="preserve">стечајни управник </w:t>
      </w:r>
      <w:r>
        <w:rPr>
          <w:lang w:val="sr-Cyrl-CS"/>
        </w:rPr>
        <w:t xml:space="preserve">није на свеобухватан начин извршио попис имовине </w:t>
      </w:r>
      <w:r w:rsidRPr="00132739">
        <w:rPr>
          <w:lang w:val="sr-Cyrl-CS"/>
        </w:rPr>
        <w:t>стечајног дужника</w:t>
      </w:r>
      <w:r>
        <w:rPr>
          <w:lang w:val="sr-Cyrl-CS"/>
        </w:rPr>
        <w:t xml:space="preserve"> </w:t>
      </w:r>
      <w:r w:rsidRPr="00132739">
        <w:rPr>
          <w:lang w:val="sr-Cyrl-CS"/>
        </w:rPr>
        <w:t>и није у ЕФИ</w:t>
      </w:r>
      <w:r>
        <w:rPr>
          <w:lang w:val="sr-Cyrl-CS"/>
        </w:rPr>
        <w:t>-ју</w:t>
      </w:r>
      <w:r w:rsidRPr="00132739">
        <w:rPr>
          <w:lang w:val="sr-Cyrl-CS"/>
        </w:rPr>
        <w:t xml:space="preserve"> унео податке о имовини стечајног дужника;</w:t>
      </w:r>
    </w:p>
    <w:p w:rsidR="00132739" w:rsidRDefault="00132739" w:rsidP="00132739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lang w:val="sr-Cyrl-RS"/>
        </w:rPr>
      </w:pPr>
      <w:r w:rsidRPr="00F60E47">
        <w:rPr>
          <w:lang w:val="sr-Cyrl-RS"/>
        </w:rPr>
        <w:t>стечајни управник није у року Агенцији доставио</w:t>
      </w:r>
      <w:r w:rsidR="00CE777C" w:rsidRPr="00CE777C">
        <w:rPr>
          <w:lang w:val="sr-Cyrl-RS"/>
        </w:rPr>
        <w:t xml:space="preserve"> </w:t>
      </w:r>
      <w:r w:rsidR="00CE777C" w:rsidRPr="00F60E47">
        <w:rPr>
          <w:lang w:val="sr-Cyrl-RS"/>
        </w:rPr>
        <w:t>документацију</w:t>
      </w:r>
      <w:r w:rsidRPr="00F60E47">
        <w:rPr>
          <w:lang w:val="sr-Cyrl-RS"/>
        </w:rPr>
        <w:t xml:space="preserve"> прописану Националним стандардом број 4;</w:t>
      </w:r>
    </w:p>
    <w:p w:rsidR="00F60E47" w:rsidRDefault="00F60E47" w:rsidP="00F60E47">
      <w:pPr>
        <w:pStyle w:val="ListParagraph"/>
        <w:numPr>
          <w:ilvl w:val="0"/>
          <w:numId w:val="25"/>
        </w:numPr>
        <w:spacing w:after="0"/>
        <w:rPr>
          <w:lang w:val="sr-Cyrl-RS"/>
        </w:rPr>
      </w:pPr>
      <w:r w:rsidRPr="00F60E47">
        <w:rPr>
          <w:lang w:val="sr-Cyrl-RS"/>
        </w:rPr>
        <w:t xml:space="preserve">стечајни управник је онемогућио супевизора Агенције у вршењу стручног надзора у циљу утврђивања чињеница од значаја за испитивања рада стечајног управника у контролисаним предметима; </w:t>
      </w:r>
    </w:p>
    <w:p w:rsidR="00AC09CC" w:rsidRPr="00991CCD" w:rsidRDefault="00F60E47" w:rsidP="00991CCD">
      <w:pPr>
        <w:pStyle w:val="ListParagraph"/>
        <w:numPr>
          <w:ilvl w:val="0"/>
          <w:numId w:val="25"/>
        </w:numPr>
        <w:spacing w:after="0"/>
        <w:rPr>
          <w:lang w:val="sr-Cyrl-RS"/>
        </w:rPr>
      </w:pPr>
      <w:r w:rsidRPr="00F60E47">
        <w:rPr>
          <w:lang w:val="sr-Cyrl-RS"/>
        </w:rPr>
        <w:t xml:space="preserve">стечајни управник није поступио по налогу супервизора Агенције за достављање тражене документације </w:t>
      </w:r>
      <w:r w:rsidR="00AC09CC">
        <w:rPr>
          <w:lang w:val="sr-Cyrl-RS"/>
        </w:rPr>
        <w:t>и изјашњења</w:t>
      </w:r>
      <w:r w:rsidR="00991CCD">
        <w:rPr>
          <w:lang w:val="sr-Cyrl-RS"/>
        </w:rPr>
        <w:t>.</w:t>
      </w:r>
    </w:p>
    <w:p w:rsidR="006D4474" w:rsidRDefault="006D4474" w:rsidP="006D4474">
      <w:pPr>
        <w:spacing w:after="0"/>
        <w:rPr>
          <w:lang w:val="sr-Cyrl-RS"/>
        </w:rPr>
      </w:pPr>
    </w:p>
    <w:p w:rsidR="00F60E47" w:rsidRDefault="006D4474" w:rsidP="00CE777C">
      <w:pPr>
        <w:spacing w:after="0"/>
        <w:jc w:val="both"/>
        <w:rPr>
          <w:lang w:val="sr-Cyrl-RS"/>
        </w:rPr>
      </w:pPr>
      <w:r w:rsidRPr="006D4474">
        <w:rPr>
          <w:lang w:val="sr-Cyrl-RS"/>
        </w:rPr>
        <w:t xml:space="preserve">У вези са наведеним покренутим поступцима испитивања рада стечајних управника надзором увидом и анализом, напомињемо да пре него што се званично покрене поступак испитивања рада стечајног управника по основу наведеног надзора, супервизори у зависности од конкретног случаја (кад су у питању техничке грешке приликом </w:t>
      </w:r>
      <w:r w:rsidRPr="006D4474">
        <w:rPr>
          <w:lang w:val="sr-Cyrl-RS"/>
        </w:rPr>
        <w:lastRenderedPageBreak/>
        <w:t>сачињавања тромесечних извештаја, грешке или неправилности мањег значаја које се могу отклонити без икаквих последица по стечајну масу, повериоце или трећа лица), у сарадњи са стечајним управницима исправљају све што је могуће исправити без покретања поступка испитивања рада стечајног управника, јер по нашем мишљењу, циљ стручног надзора није само и увек санкционисање стечајних управника за утврђене неправилности, него рад и на превенцији и указивању на грешке у раду које се могу исправити без санкционисања, а у циљу доприноса едукацији и развоју професије стечајног управника.</w:t>
      </w:r>
    </w:p>
    <w:p w:rsidR="004E24F8" w:rsidRPr="006D4474" w:rsidRDefault="004E24F8" w:rsidP="006D4474">
      <w:pPr>
        <w:spacing w:after="0"/>
        <w:rPr>
          <w:lang w:val="sr-Cyrl-RS"/>
        </w:rPr>
      </w:pPr>
    </w:p>
    <w:p w:rsidR="00203BCC" w:rsidRPr="00570D1A" w:rsidRDefault="00736A46">
      <w:pPr>
        <w:pStyle w:val="Heading2"/>
        <w:rPr>
          <w:lang w:val="sr-Cyrl-RS"/>
        </w:rPr>
      </w:pPr>
      <w:bookmarkStart w:id="6" w:name="_Toc467576826"/>
      <w:r>
        <w:rPr>
          <w:lang w:val="sr-Cyrl-RS"/>
        </w:rPr>
        <w:t>Редовни непосредни надзор</w:t>
      </w:r>
      <w:bookmarkEnd w:id="6"/>
    </w:p>
    <w:p w:rsidR="001B6362" w:rsidRDefault="001B6362" w:rsidP="001B6362">
      <w:pPr>
        <w:spacing w:after="0"/>
        <w:rPr>
          <w:lang w:val="sr-Cyrl-RS"/>
        </w:rPr>
      </w:pPr>
    </w:p>
    <w:p w:rsidR="009E2D9B" w:rsidRDefault="009E2D9B" w:rsidP="00C967E4">
      <w:pPr>
        <w:rPr>
          <w:lang w:val="sr-Cyrl-RS"/>
        </w:rPr>
      </w:pPr>
      <w:r w:rsidRPr="009E2D9B">
        <w:rPr>
          <w:lang w:val="sr-Cyrl-RS"/>
        </w:rPr>
        <w:t xml:space="preserve">Агенција врши редовни непосредни надзор у просторијама стечајног управника у складу са </w:t>
      </w:r>
      <w:r w:rsidRPr="009E2D9B">
        <w:rPr>
          <w:b/>
          <w:lang w:val="sr-Cyrl-RS"/>
        </w:rPr>
        <w:t>годишњим планом вршења непосредног надзора</w:t>
      </w:r>
      <w:r w:rsidR="00132739">
        <w:rPr>
          <w:lang w:val="sr-Cyrl-RS"/>
        </w:rPr>
        <w:t xml:space="preserve">, </w:t>
      </w:r>
      <w:r w:rsidRPr="009E2D9B">
        <w:rPr>
          <w:lang w:val="sr-Cyrl-RS"/>
        </w:rPr>
        <w:t>узимајући у обзир обавезу да се непосредни надзор над радом сваког активног  стечајног управника врши најмање једном у</w:t>
      </w:r>
      <w:r>
        <w:rPr>
          <w:lang w:val="sr-Cyrl-RS"/>
        </w:rPr>
        <w:t xml:space="preserve"> </w:t>
      </w:r>
      <w:r w:rsidRPr="00132739">
        <w:rPr>
          <w:b/>
          <w:lang w:val="sr-Cyrl-RS"/>
        </w:rPr>
        <w:t>сваке</w:t>
      </w:r>
      <w:r w:rsidRPr="009E2D9B">
        <w:rPr>
          <w:lang w:val="sr-Cyrl-RS"/>
        </w:rPr>
        <w:t xml:space="preserve"> </w:t>
      </w:r>
      <w:r w:rsidRPr="009E2D9B">
        <w:rPr>
          <w:b/>
          <w:lang w:val="sr-Cyrl-RS"/>
        </w:rPr>
        <w:t>три године</w:t>
      </w:r>
      <w:r w:rsidRPr="009E2D9B">
        <w:rPr>
          <w:lang w:val="sr-Cyrl-RS"/>
        </w:rPr>
        <w:t xml:space="preserve">.  </w:t>
      </w:r>
    </w:p>
    <w:p w:rsidR="009E2D9B" w:rsidRDefault="009E2D9B" w:rsidP="00C967E4">
      <w:pPr>
        <w:rPr>
          <w:lang w:val="sr-Cyrl-RS"/>
        </w:rPr>
      </w:pPr>
      <w:r w:rsidRPr="009E2D9B">
        <w:rPr>
          <w:lang w:val="sr-Cyrl-RS"/>
        </w:rPr>
        <w:t>Годишњи план надзора Агенција доноси најкасније до 31. јануара за текућу годину</w:t>
      </w:r>
      <w:r>
        <w:rPr>
          <w:lang w:val="sr-Cyrl-RS"/>
        </w:rPr>
        <w:t xml:space="preserve"> и њиме</w:t>
      </w:r>
      <w:r w:rsidRPr="009E2D9B">
        <w:rPr>
          <w:lang w:val="sr-Cyrl-RS"/>
        </w:rPr>
        <w:t xml:space="preserve"> се одређују стечајни управници над којима Агенција врши непос</w:t>
      </w:r>
      <w:r>
        <w:rPr>
          <w:lang w:val="sr-Cyrl-RS"/>
        </w:rPr>
        <w:t>редни  надзор у текућој години.</w:t>
      </w:r>
    </w:p>
    <w:p w:rsidR="009E2D9B" w:rsidRDefault="009E2D9B" w:rsidP="009E2D9B">
      <w:pPr>
        <w:spacing w:after="0"/>
        <w:rPr>
          <w:lang w:val="sr-Cyrl-RS"/>
        </w:rPr>
      </w:pPr>
      <w:r w:rsidRPr="009E2D9B">
        <w:rPr>
          <w:lang w:val="sr-Cyrl-RS"/>
        </w:rPr>
        <w:t xml:space="preserve">При одређивању стечајних управника, Агенција нарочито узима у обзир следеће критеријуме: </w:t>
      </w:r>
    </w:p>
    <w:p w:rsidR="009E2D9B" w:rsidRDefault="009E2D9B" w:rsidP="009E2D9B">
      <w:pPr>
        <w:spacing w:after="0"/>
        <w:ind w:left="720"/>
        <w:rPr>
          <w:lang w:val="sr-Cyrl-RS"/>
        </w:rPr>
      </w:pPr>
      <w:r w:rsidRPr="009E2D9B">
        <w:rPr>
          <w:lang w:val="sr-Cyrl-RS"/>
        </w:rPr>
        <w:t xml:space="preserve">1) број и сложеност предмета у којима је стечајни управник именован;  </w:t>
      </w:r>
    </w:p>
    <w:p w:rsidR="009E2D9B" w:rsidRDefault="009E2D9B" w:rsidP="009E2D9B">
      <w:pPr>
        <w:spacing w:after="0"/>
        <w:ind w:left="720"/>
        <w:rPr>
          <w:lang w:val="sr-Cyrl-RS"/>
        </w:rPr>
      </w:pPr>
      <w:r w:rsidRPr="009E2D9B">
        <w:rPr>
          <w:lang w:val="sr-Cyrl-RS"/>
        </w:rPr>
        <w:t>2)</w:t>
      </w:r>
      <w:r w:rsidR="00132739">
        <w:rPr>
          <w:lang w:val="sr-Cyrl-RS"/>
        </w:rPr>
        <w:t xml:space="preserve"> искуство стечајног управника и</w:t>
      </w:r>
    </w:p>
    <w:p w:rsidR="001B6362" w:rsidRDefault="009E2D9B" w:rsidP="009E2D9B">
      <w:pPr>
        <w:spacing w:after="0"/>
        <w:ind w:left="720"/>
        <w:rPr>
          <w:lang w:val="sr-Cyrl-RS"/>
        </w:rPr>
      </w:pPr>
      <w:r w:rsidRPr="009E2D9B">
        <w:rPr>
          <w:lang w:val="sr-Cyrl-RS"/>
        </w:rPr>
        <w:t>3) резултате раније извршеног надзора над радом стечајних управника.</w:t>
      </w:r>
    </w:p>
    <w:p w:rsidR="009E2D9B" w:rsidRDefault="009E2D9B" w:rsidP="009E2D9B">
      <w:pPr>
        <w:spacing w:after="0"/>
        <w:rPr>
          <w:lang w:val="sr-Cyrl-RS"/>
        </w:rPr>
      </w:pPr>
    </w:p>
    <w:p w:rsidR="002471CA" w:rsidRDefault="009E2D9B" w:rsidP="00CE777C">
      <w:pPr>
        <w:jc w:val="both"/>
        <w:rPr>
          <w:lang w:val="sr-Cyrl-RS"/>
        </w:rPr>
      </w:pPr>
      <w:r>
        <w:rPr>
          <w:lang w:val="sr-Cyrl-RS"/>
        </w:rPr>
        <w:t xml:space="preserve">Годишњи план за 2016. годину донет је 1. фебруара 2016. године и садржи укупно 100 надзора. </w:t>
      </w:r>
      <w:r w:rsidR="00132739">
        <w:rPr>
          <w:lang w:val="sr-Cyrl-RS"/>
        </w:rPr>
        <w:t xml:space="preserve">У овој години до </w:t>
      </w:r>
      <w:r w:rsidR="00D31307">
        <w:rPr>
          <w:lang w:val="sr-Cyrl-RS"/>
        </w:rPr>
        <w:t>3</w:t>
      </w:r>
      <w:r w:rsidR="00132739">
        <w:rPr>
          <w:lang w:val="sr-Cyrl-RS"/>
        </w:rPr>
        <w:t xml:space="preserve">1. </w:t>
      </w:r>
      <w:r w:rsidR="00D31307">
        <w:rPr>
          <w:lang w:val="sr-Cyrl-RS"/>
        </w:rPr>
        <w:t>децембра</w:t>
      </w:r>
      <w:r>
        <w:rPr>
          <w:lang w:val="sr-Cyrl-RS"/>
        </w:rPr>
        <w:t xml:space="preserve"> 2016. године извршен је </w:t>
      </w:r>
      <w:r w:rsidR="00D31307">
        <w:rPr>
          <w:lang w:val="sr-Cyrl-RS"/>
        </w:rPr>
        <w:t>94</w:t>
      </w:r>
      <w:r>
        <w:rPr>
          <w:lang w:val="sr-Cyrl-RS"/>
        </w:rPr>
        <w:t xml:space="preserve"> редовни</w:t>
      </w:r>
      <w:r w:rsidR="00D31307">
        <w:rPr>
          <w:lang w:val="sr-Cyrl-RS"/>
        </w:rPr>
        <w:t>х</w:t>
      </w:r>
      <w:r>
        <w:rPr>
          <w:lang w:val="sr-Cyrl-RS"/>
        </w:rPr>
        <w:t xml:space="preserve"> непосредни</w:t>
      </w:r>
      <w:r w:rsidR="00D31307">
        <w:rPr>
          <w:lang w:val="sr-Cyrl-RS"/>
        </w:rPr>
        <w:t>х</w:t>
      </w:r>
      <w:r>
        <w:rPr>
          <w:lang w:val="sr-Cyrl-RS"/>
        </w:rPr>
        <w:t xml:space="preserve"> надзор</w:t>
      </w:r>
      <w:r w:rsidR="00D31307">
        <w:rPr>
          <w:lang w:val="sr-Cyrl-RS"/>
        </w:rPr>
        <w:t>а</w:t>
      </w:r>
      <w:r>
        <w:rPr>
          <w:lang w:val="sr-Cyrl-RS"/>
        </w:rPr>
        <w:t xml:space="preserve"> и сачињен укупно </w:t>
      </w:r>
      <w:r w:rsidR="00D31307">
        <w:rPr>
          <w:lang w:val="sr-Cyrl-RS"/>
        </w:rPr>
        <w:t>94</w:t>
      </w:r>
      <w:r>
        <w:rPr>
          <w:lang w:val="sr-Cyrl-RS"/>
        </w:rPr>
        <w:t xml:space="preserve"> извештај</w:t>
      </w:r>
      <w:r w:rsidR="00D31307">
        <w:rPr>
          <w:lang w:val="sr-Cyrl-RS"/>
        </w:rPr>
        <w:t>а</w:t>
      </w:r>
      <w:r>
        <w:rPr>
          <w:lang w:val="sr-Cyrl-RS"/>
        </w:rPr>
        <w:t xml:space="preserve"> о извршеном исп</w:t>
      </w:r>
      <w:r w:rsidR="00442D6A">
        <w:rPr>
          <w:lang w:val="sr-Cyrl-RS"/>
        </w:rPr>
        <w:t>итивњу рада стечајног управника.</w:t>
      </w:r>
      <w:r>
        <w:rPr>
          <w:lang w:val="sr-Cyrl-RS"/>
        </w:rPr>
        <w:t xml:space="preserve"> </w:t>
      </w:r>
    </w:p>
    <w:p w:rsidR="002471CA" w:rsidRPr="00C82509" w:rsidRDefault="002471CA" w:rsidP="002471CA">
      <w:pPr>
        <w:spacing w:after="120"/>
        <w:rPr>
          <w:noProof/>
          <w:lang w:val="sr-Cyrl-RS" w:eastAsia="en-US"/>
        </w:rPr>
      </w:pPr>
      <w:r w:rsidRPr="00174C16">
        <w:rPr>
          <w:noProof/>
          <w:u w:val="single"/>
          <w:lang w:val="sr-Cyrl-RS" w:eastAsia="en-US"/>
        </w:rPr>
        <w:t xml:space="preserve">Графикон број </w:t>
      </w:r>
      <w:r>
        <w:rPr>
          <w:noProof/>
          <w:u w:val="single"/>
          <w:lang w:val="sr-Cyrl-RS" w:eastAsia="en-US"/>
        </w:rPr>
        <w:t>4</w:t>
      </w:r>
      <w:r w:rsidRPr="00174C16">
        <w:rPr>
          <w:noProof/>
          <w:u w:val="single"/>
          <w:lang w:val="sr-Cyrl-RS" w:eastAsia="en-US"/>
        </w:rPr>
        <w:t>.</w:t>
      </w:r>
      <w:r>
        <w:rPr>
          <w:noProof/>
          <w:lang w:val="sr-Cyrl-RS" w:eastAsia="en-US"/>
        </w:rPr>
        <w:t xml:space="preserve"> приказује </w:t>
      </w:r>
      <w:r w:rsidRPr="00174C16">
        <w:rPr>
          <w:b/>
          <w:noProof/>
          <w:lang w:val="sr-Cyrl-RS" w:eastAsia="en-US"/>
        </w:rPr>
        <w:t xml:space="preserve">број </w:t>
      </w:r>
      <w:r>
        <w:rPr>
          <w:b/>
          <w:noProof/>
          <w:lang w:val="sr-Cyrl-RS" w:eastAsia="en-US"/>
        </w:rPr>
        <w:t>извршених редовних непоредних надзора по годинама (2011-2016) и резултатима надзора</w:t>
      </w:r>
      <w:r>
        <w:rPr>
          <w:noProof/>
          <w:lang w:val="sr-Cyrl-RS" w:eastAsia="en-US"/>
        </w:rPr>
        <w:t>.</w:t>
      </w:r>
    </w:p>
    <w:p w:rsidR="001B6362" w:rsidRDefault="00CA334F" w:rsidP="002471CA">
      <w:pPr>
        <w:jc w:val="center"/>
        <w:rPr>
          <w:lang w:val="sr-Cyrl-RS"/>
        </w:rPr>
      </w:pPr>
      <w:r>
        <w:rPr>
          <w:noProof/>
          <w:lang w:eastAsia="en-US"/>
        </w:rPr>
        <w:drawing>
          <wp:inline distT="0" distB="0" distL="0" distR="0" wp14:anchorId="529A94D9" wp14:editId="213D03DC">
            <wp:extent cx="4572000" cy="2743200"/>
            <wp:effectExtent l="0" t="0" r="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CC8CE0-4FD9-4F3D-8055-8A1813CCD5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334F" w:rsidRDefault="00CA334F" w:rsidP="002471CA">
      <w:pPr>
        <w:jc w:val="center"/>
        <w:rPr>
          <w:lang w:val="sr-Cyrl-RS"/>
        </w:rPr>
      </w:pPr>
    </w:p>
    <w:p w:rsidR="00CA334F" w:rsidRDefault="00CA334F" w:rsidP="002471CA">
      <w:pPr>
        <w:jc w:val="center"/>
        <w:rPr>
          <w:lang w:val="sr-Cyrl-RS"/>
        </w:rPr>
      </w:pPr>
    </w:p>
    <w:p w:rsidR="00CA334F" w:rsidRDefault="00CA334F" w:rsidP="00DB1156">
      <w:pPr>
        <w:rPr>
          <w:lang w:val="sr-Cyrl-RS"/>
        </w:rPr>
      </w:pPr>
    </w:p>
    <w:p w:rsidR="00344F65" w:rsidRDefault="00344F65" w:rsidP="00344F65">
      <w:pPr>
        <w:spacing w:after="0"/>
        <w:rPr>
          <w:lang w:val="sr-Cyrl-RS"/>
        </w:rPr>
      </w:pPr>
      <w:r>
        <w:rPr>
          <w:lang w:val="sr-Cyrl-RS"/>
        </w:rPr>
        <w:t>У наставку наводимо опис</w:t>
      </w:r>
      <w:r w:rsidR="00132739">
        <w:rPr>
          <w:lang w:val="sr-Cyrl-RS"/>
        </w:rPr>
        <w:t xml:space="preserve"> најчешће</w:t>
      </w:r>
      <w:r>
        <w:rPr>
          <w:lang w:val="sr-Cyrl-RS"/>
        </w:rPr>
        <w:t xml:space="preserve"> утврђених неправилности у раду стечајних управника:</w:t>
      </w:r>
    </w:p>
    <w:p w:rsidR="0000693A" w:rsidRDefault="00344F65" w:rsidP="00344F65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00693A">
        <w:rPr>
          <w:lang w:val="sr-Cyrl-RS"/>
        </w:rPr>
        <w:t>стечајни управник није потписао уговор о купопродаји са проглашеним купцем у року који је прописао у огласу о прода</w:t>
      </w:r>
      <w:r w:rsidR="0000693A">
        <w:rPr>
          <w:lang w:val="sr-Cyrl-RS"/>
        </w:rPr>
        <w:t>ји имовине јавним надметањем;</w:t>
      </w:r>
    </w:p>
    <w:p w:rsidR="00464C89" w:rsidRDefault="00344F65" w:rsidP="00344F65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00693A">
        <w:rPr>
          <w:lang w:val="sr-Cyrl-RS"/>
        </w:rPr>
        <w:t>стечајни управник није доставио порески биланс са стањем на дан отварања стечајног поступка надлежном пор</w:t>
      </w:r>
      <w:r w:rsidR="0000693A">
        <w:rPr>
          <w:lang w:val="sr-Cyrl-RS"/>
        </w:rPr>
        <w:t>еском органу у прописаном року;</w:t>
      </w:r>
    </w:p>
    <w:p w:rsidR="00464C89" w:rsidRDefault="00344F65" w:rsidP="00344F65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464C89">
        <w:rPr>
          <w:lang w:val="sr-Cyrl-RS"/>
        </w:rPr>
        <w:t>стечајни управник није изврши</w:t>
      </w:r>
      <w:r w:rsidR="00464C89">
        <w:rPr>
          <w:lang w:val="sr-Cyrl-RS"/>
        </w:rPr>
        <w:t>о</w:t>
      </w:r>
      <w:r w:rsidRPr="00464C89">
        <w:rPr>
          <w:lang w:val="sr-Cyrl-RS"/>
        </w:rPr>
        <w:t xml:space="preserve"> личну доставу обавештења оним повериоцим</w:t>
      </w:r>
      <w:r w:rsidR="00464C89">
        <w:rPr>
          <w:lang w:val="sr-Cyrl-RS"/>
        </w:rPr>
        <w:t>а чија су потраживања оспорена;</w:t>
      </w:r>
    </w:p>
    <w:p w:rsidR="00464C89" w:rsidRDefault="00344F65" w:rsidP="00D2151B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464C89">
        <w:rPr>
          <w:lang w:val="sr-Cyrl-RS"/>
        </w:rPr>
        <w:t>супервизор није био у могућности да утврди да ли је целокупна имовина стечајног дужни</w:t>
      </w:r>
      <w:r w:rsidR="00FA21EF">
        <w:rPr>
          <w:lang w:val="sr-Cyrl-RS"/>
        </w:rPr>
        <w:t>ка која је пописана унета у ЕФИ, због начина евиденције имовине у ЕФИ-ју</w:t>
      </w:r>
      <w:r w:rsidR="00464C89">
        <w:rPr>
          <w:lang w:val="sr-Cyrl-RS"/>
        </w:rPr>
        <w:t>;</w:t>
      </w:r>
    </w:p>
    <w:p w:rsidR="00464C89" w:rsidRDefault="00464C89" w:rsidP="00464C89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>
        <w:rPr>
          <w:lang w:val="sr-Cyrl-RS"/>
        </w:rPr>
        <w:t>с</w:t>
      </w:r>
      <w:r w:rsidR="00D2151B" w:rsidRPr="00464C89">
        <w:rPr>
          <w:lang w:val="sr-Cyrl-RS"/>
        </w:rPr>
        <w:t>течајни управник није у ЕФИ</w:t>
      </w:r>
      <w:r w:rsidR="00FA21EF">
        <w:rPr>
          <w:lang w:val="sr-Cyrl-RS"/>
        </w:rPr>
        <w:t>-ју</w:t>
      </w:r>
      <w:r w:rsidR="00D2151B" w:rsidRPr="00464C89">
        <w:rPr>
          <w:lang w:val="sr-Cyrl-RS"/>
        </w:rPr>
        <w:t xml:space="preserve"> евидентирао целокупну имовину стечајног ду</w:t>
      </w:r>
      <w:r>
        <w:rPr>
          <w:lang w:val="sr-Cyrl-RS"/>
        </w:rPr>
        <w:t>жника која је пописана;</w:t>
      </w:r>
      <w:r w:rsidR="00D2151B" w:rsidRPr="00464C89">
        <w:rPr>
          <w:lang w:val="sr-Cyrl-RS"/>
        </w:rPr>
        <w:t xml:space="preserve"> </w:t>
      </w:r>
    </w:p>
    <w:p w:rsidR="00464C89" w:rsidRDefault="00464C89" w:rsidP="00132739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464C89">
        <w:rPr>
          <w:lang w:val="sr-Cyrl-RS"/>
        </w:rPr>
        <w:t>с</w:t>
      </w:r>
      <w:r w:rsidR="00D2151B" w:rsidRPr="00464C89">
        <w:rPr>
          <w:lang w:val="sr-Cyrl-RS"/>
        </w:rPr>
        <w:t>течајни управник није формирао комисију за попис имовине стечајног дужника, није сачинио пописне листе имовине, нити пописне листе накнадно прон</w:t>
      </w:r>
      <w:r w:rsidRPr="00464C89">
        <w:rPr>
          <w:lang w:val="sr-Cyrl-RS"/>
        </w:rPr>
        <w:t>ађене имовине стечајног дужника;</w:t>
      </w:r>
      <w:r w:rsidR="00D2151B" w:rsidRPr="00464C89">
        <w:rPr>
          <w:lang w:val="sr-Cyrl-RS"/>
        </w:rPr>
        <w:tab/>
      </w:r>
    </w:p>
    <w:p w:rsidR="00464C89" w:rsidRPr="00856556" w:rsidRDefault="00464C89" w:rsidP="00132739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856556">
        <w:rPr>
          <w:lang w:val="sr-Cyrl-RS"/>
        </w:rPr>
        <w:t>с</w:t>
      </w:r>
      <w:r w:rsidR="00D2151B" w:rsidRPr="00856556">
        <w:rPr>
          <w:lang w:val="sr-Cyrl-RS"/>
        </w:rPr>
        <w:t xml:space="preserve">течајни управник </w:t>
      </w:r>
      <w:r w:rsidRPr="00856556">
        <w:rPr>
          <w:lang w:val="sr-Cyrl-RS"/>
        </w:rPr>
        <w:t>је намирио</w:t>
      </w:r>
      <w:r w:rsidR="00D2151B" w:rsidRPr="00856556">
        <w:rPr>
          <w:lang w:val="sr-Cyrl-RS"/>
        </w:rPr>
        <w:t xml:space="preserve"> разлучне повериоце пре овере купопродајног уговора</w:t>
      </w:r>
      <w:r w:rsidRPr="00856556">
        <w:rPr>
          <w:lang w:val="sr-Cyrl-RS"/>
        </w:rPr>
        <w:t>;</w:t>
      </w:r>
    </w:p>
    <w:p w:rsidR="00856556" w:rsidRPr="00856556" w:rsidRDefault="00CF5105" w:rsidP="00132739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>
        <w:rPr>
          <w:lang w:val="sr-Cyrl-RS"/>
        </w:rPr>
        <w:t>стечајни управник није сачинио</w:t>
      </w:r>
      <w:r w:rsidR="00FA21EF">
        <w:rPr>
          <w:lang w:val="sr-Cyrl-RS"/>
        </w:rPr>
        <w:t xml:space="preserve"> нити</w:t>
      </w:r>
      <w:r w:rsidR="0000693A" w:rsidRPr="00856556">
        <w:rPr>
          <w:lang w:val="sr-Cyrl-RS"/>
        </w:rPr>
        <w:t xml:space="preserve"> доставио обавештење о намери, плану продаје, на</w:t>
      </w:r>
      <w:r w:rsidR="00856556" w:rsidRPr="00856556">
        <w:rPr>
          <w:lang w:val="sr-Cyrl-RS"/>
        </w:rPr>
        <w:t>чину продаје, роковима продаје;</w:t>
      </w:r>
    </w:p>
    <w:p w:rsidR="00856556" w:rsidRDefault="0000693A" w:rsidP="0000693A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856556">
        <w:rPr>
          <w:lang w:val="sr-Cyrl-RS"/>
        </w:rPr>
        <w:t xml:space="preserve">стечајни управник није поступио по </w:t>
      </w:r>
      <w:r w:rsidR="00856556" w:rsidRPr="00856556">
        <w:rPr>
          <w:lang w:val="sr-Cyrl-RS"/>
        </w:rPr>
        <w:t>н</w:t>
      </w:r>
      <w:r w:rsidRPr="00856556">
        <w:rPr>
          <w:lang w:val="sr-Cyrl-RS"/>
        </w:rPr>
        <w:t xml:space="preserve">алогу супервизора </w:t>
      </w:r>
      <w:r w:rsidR="00856556" w:rsidRPr="00856556">
        <w:rPr>
          <w:lang w:val="sr-Cyrl-RS"/>
        </w:rPr>
        <w:t>за доставу документације;</w:t>
      </w:r>
    </w:p>
    <w:p w:rsidR="0000693A" w:rsidRDefault="00856556" w:rsidP="0000693A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856556">
        <w:rPr>
          <w:lang w:val="sr-Cyrl-RS"/>
        </w:rPr>
        <w:t>с</w:t>
      </w:r>
      <w:r w:rsidR="0000693A" w:rsidRPr="00856556">
        <w:rPr>
          <w:lang w:val="sr-Cyrl-RS"/>
        </w:rPr>
        <w:t xml:space="preserve">течајни управник </w:t>
      </w:r>
      <w:r w:rsidR="00CF5105">
        <w:rPr>
          <w:lang w:val="sr-Cyrl-RS"/>
        </w:rPr>
        <w:t>је огласио</w:t>
      </w:r>
      <w:r w:rsidR="0000693A" w:rsidRPr="00856556">
        <w:rPr>
          <w:lang w:val="sr-Cyrl-RS"/>
        </w:rPr>
        <w:t xml:space="preserve"> продају имовине стечајног дужника методом јавног надметања, при чему је предмет процене и продајне документације, а касније и предмет продаје била, поред имовине стечајног дужника, и имовина која је у власништву трећих лица (Републике Србије и физичких лица), на чијем делу је уписано право коришћења у корист наведеног стечајног дужника.</w:t>
      </w:r>
      <w:r>
        <w:rPr>
          <w:lang w:val="sr-Cyrl-RS"/>
        </w:rPr>
        <w:t xml:space="preserve"> </w:t>
      </w:r>
      <w:r w:rsidR="0000693A" w:rsidRPr="00856556">
        <w:rPr>
          <w:lang w:val="sr-Cyrl-RS"/>
        </w:rPr>
        <w:t xml:space="preserve">И поред одбијања јавног бележника за оверу купопродајног уговора, одбијања проглашеног купца за </w:t>
      </w:r>
      <w:r w:rsidR="00CF5105">
        <w:rPr>
          <w:lang w:val="sr-Cyrl-RS"/>
        </w:rPr>
        <w:t>закључење купопродајног уговора</w:t>
      </w:r>
      <w:r w:rsidR="0000693A" w:rsidRPr="00856556">
        <w:rPr>
          <w:lang w:val="sr-Cyrl-RS"/>
        </w:rPr>
        <w:t xml:space="preserve"> и недоношења решења суда о извршеној продаји, стечајни управник је предао у државину горе наведену имовину која је била предмет продаје целине, а новац добијен по осн</w:t>
      </w:r>
      <w:r w:rsidR="00FA21EF">
        <w:rPr>
          <w:lang w:val="sr-Cyrl-RS"/>
        </w:rPr>
        <w:t>ову купопродајне цене је подељен</w:t>
      </w:r>
      <w:r w:rsidR="0000693A" w:rsidRPr="00856556">
        <w:rPr>
          <w:lang w:val="sr-Cyrl-RS"/>
        </w:rPr>
        <w:t xml:space="preserve"> повериоцима у ск</w:t>
      </w:r>
      <w:r>
        <w:rPr>
          <w:lang w:val="sr-Cyrl-RS"/>
        </w:rPr>
        <w:t>ладу са решењем о главној деоби;</w:t>
      </w:r>
    </w:p>
    <w:p w:rsidR="0000693A" w:rsidRPr="00856556" w:rsidRDefault="0000693A" w:rsidP="00132739">
      <w:pPr>
        <w:pStyle w:val="ListParagraph"/>
        <w:numPr>
          <w:ilvl w:val="0"/>
          <w:numId w:val="27"/>
        </w:numPr>
        <w:spacing w:after="0"/>
        <w:rPr>
          <w:lang w:val="sr-Cyrl-RS"/>
        </w:rPr>
      </w:pPr>
      <w:r w:rsidRPr="00856556">
        <w:rPr>
          <w:lang w:val="sr-Cyrl-RS"/>
        </w:rPr>
        <w:t xml:space="preserve">стечајни управник није предузео активности </w:t>
      </w:r>
      <w:r w:rsidR="00FA21EF">
        <w:rPr>
          <w:lang w:val="sr-Cyrl-RS"/>
        </w:rPr>
        <w:t>да од дужника стечајног дужника (</w:t>
      </w:r>
      <w:r w:rsidRPr="00856556">
        <w:rPr>
          <w:lang w:val="sr-Cyrl-RS"/>
        </w:rPr>
        <w:t xml:space="preserve">закупца </w:t>
      </w:r>
      <w:r w:rsidR="00856556" w:rsidRPr="00856556">
        <w:rPr>
          <w:lang w:val="sr-Cyrl-RS"/>
        </w:rPr>
        <w:t>стечајног дужника</w:t>
      </w:r>
      <w:r w:rsidR="00FA21EF">
        <w:rPr>
          <w:lang w:val="sr-Cyrl-RS"/>
        </w:rPr>
        <w:t>)</w:t>
      </w:r>
      <w:r w:rsidR="00856556" w:rsidRPr="00856556">
        <w:rPr>
          <w:lang w:val="sr-Cyrl-RS"/>
        </w:rPr>
        <w:t xml:space="preserve">, </w:t>
      </w:r>
      <w:r w:rsidRPr="00856556">
        <w:rPr>
          <w:lang w:val="sr-Cyrl-RS"/>
        </w:rPr>
        <w:t>благовремено наплати потраживања по основу закупа и</w:t>
      </w:r>
      <w:r w:rsidR="00856556" w:rsidRPr="00856556">
        <w:rPr>
          <w:lang w:val="sr-Cyrl-RS"/>
        </w:rPr>
        <w:t xml:space="preserve"> </w:t>
      </w:r>
      <w:r w:rsidRPr="00856556">
        <w:rPr>
          <w:lang w:val="sr-Cyrl-RS"/>
        </w:rPr>
        <w:t>није благовремено издавао фактуре по основу закупа целок</w:t>
      </w:r>
      <w:r w:rsidR="00CF5105">
        <w:rPr>
          <w:lang w:val="sr-Cyrl-RS"/>
        </w:rPr>
        <w:t>упне умовине стечајног дужника.</w:t>
      </w:r>
    </w:p>
    <w:p w:rsidR="00344F65" w:rsidRDefault="00344F65" w:rsidP="00344F65">
      <w:pPr>
        <w:pStyle w:val="Heading2"/>
        <w:rPr>
          <w:lang w:val="sr-Cyrl-RS"/>
        </w:rPr>
      </w:pPr>
    </w:p>
    <w:p w:rsidR="00203BCC" w:rsidRPr="00570D1A" w:rsidRDefault="00736A46">
      <w:pPr>
        <w:pStyle w:val="Heading2"/>
        <w:rPr>
          <w:lang w:val="sr-Cyrl-RS"/>
        </w:rPr>
      </w:pPr>
      <w:bookmarkStart w:id="7" w:name="_Toc467576827"/>
      <w:r>
        <w:rPr>
          <w:lang w:val="sr-Cyrl-RS"/>
        </w:rPr>
        <w:t>Ванредни непосредни надзор</w:t>
      </w:r>
      <w:bookmarkEnd w:id="7"/>
    </w:p>
    <w:p w:rsidR="001F6F7C" w:rsidRDefault="001F6F7C" w:rsidP="001F6F7C">
      <w:pPr>
        <w:spacing w:after="0"/>
      </w:pPr>
      <w:r>
        <w:rPr>
          <w:lang w:val="sr-Cyrl-RS"/>
        </w:rPr>
        <w:t xml:space="preserve">Супервизор Агенције може извршити ванредни непоредни надзор у случајевима када је </w:t>
      </w:r>
      <w:r>
        <w:t xml:space="preserve">неопходно, односно </w:t>
      </w:r>
      <w:r w:rsidRPr="001F6F7C">
        <w:t xml:space="preserve">сврсисходно утврдити одређене чињенице, размотрити доказе и прибавити изјаве директно од стечајног управника или лица које стечајни управник ангажује, и то у следећим случајевима: </w:t>
      </w:r>
    </w:p>
    <w:p w:rsidR="001F6F7C" w:rsidRDefault="001F6F7C" w:rsidP="001F6F7C">
      <w:pPr>
        <w:pStyle w:val="ListParagraph"/>
        <w:numPr>
          <w:ilvl w:val="0"/>
          <w:numId w:val="22"/>
        </w:numPr>
        <w:spacing w:after="0"/>
      </w:pPr>
      <w:r w:rsidRPr="001F6F7C">
        <w:t xml:space="preserve">У оквиру испитивања рада стечајног управника надзором увидом и анализом и </w:t>
      </w:r>
    </w:p>
    <w:p w:rsidR="001F6F7C" w:rsidRDefault="001F6F7C" w:rsidP="001F6F7C">
      <w:pPr>
        <w:pStyle w:val="ListParagraph"/>
        <w:numPr>
          <w:ilvl w:val="0"/>
          <w:numId w:val="22"/>
        </w:numPr>
        <w:spacing w:after="0"/>
      </w:pPr>
      <w:r w:rsidRPr="001F6F7C">
        <w:t xml:space="preserve">У оквиру испитивања рада стечајног управника по притужби.  </w:t>
      </w:r>
    </w:p>
    <w:p w:rsidR="001B0EA8" w:rsidRDefault="001B0EA8" w:rsidP="001B0EA8">
      <w:pPr>
        <w:spacing w:after="0"/>
        <w:rPr>
          <w:lang w:val="sr-Cyrl-RS"/>
        </w:rPr>
      </w:pPr>
    </w:p>
    <w:p w:rsidR="001B0EA8" w:rsidRDefault="001B0EA8" w:rsidP="001B0EA8">
      <w:pPr>
        <w:spacing w:after="0"/>
        <w:rPr>
          <w:lang w:val="sr-Cyrl-RS"/>
        </w:rPr>
      </w:pPr>
      <w:r>
        <w:rPr>
          <w:lang w:val="sr-Cyrl-RS"/>
        </w:rPr>
        <w:t xml:space="preserve">У извештајном периоду извршено је укупно </w:t>
      </w:r>
      <w:r w:rsidRPr="001B0EA8">
        <w:rPr>
          <w:b/>
          <w:lang w:val="sr-Cyrl-RS"/>
        </w:rPr>
        <w:t>8 ванредних непоредних надзора</w:t>
      </w:r>
      <w:r>
        <w:rPr>
          <w:lang w:val="sr-Cyrl-RS"/>
        </w:rPr>
        <w:t>, по основу којих су сачињени извештаји о извршеном испитивњу рада стечајног управника у којим је констатовано следеће:</w:t>
      </w:r>
    </w:p>
    <w:p w:rsidR="001B0EA8" w:rsidRDefault="001B0EA8" w:rsidP="001B0EA8">
      <w:pPr>
        <w:pStyle w:val="ListParagraph"/>
        <w:numPr>
          <w:ilvl w:val="0"/>
          <w:numId w:val="23"/>
        </w:numPr>
        <w:spacing w:after="0"/>
        <w:rPr>
          <w:lang w:val="sr-Cyrl-RS"/>
        </w:rPr>
      </w:pPr>
      <w:r w:rsidRPr="001B0EA8">
        <w:rPr>
          <w:lang w:val="sr-Cyrl-RS"/>
        </w:rPr>
        <w:t>у 3 поступка</w:t>
      </w:r>
      <w:r>
        <w:rPr>
          <w:lang w:val="sr-Cyrl-RS"/>
        </w:rPr>
        <w:t xml:space="preserve"> нису</w:t>
      </w:r>
      <w:r w:rsidRPr="001B0EA8">
        <w:rPr>
          <w:lang w:val="sr-Cyrl-RS"/>
        </w:rPr>
        <w:t xml:space="preserve"> утврђене неправилности</w:t>
      </w:r>
      <w:r>
        <w:rPr>
          <w:lang w:val="sr-Cyrl-RS"/>
        </w:rPr>
        <w:t>;</w:t>
      </w:r>
    </w:p>
    <w:p w:rsidR="001B0EA8" w:rsidRDefault="001B0EA8" w:rsidP="001B0EA8">
      <w:pPr>
        <w:pStyle w:val="ListParagraph"/>
        <w:numPr>
          <w:ilvl w:val="0"/>
          <w:numId w:val="23"/>
        </w:numPr>
        <w:spacing w:after="0"/>
        <w:rPr>
          <w:lang w:val="sr-Cyrl-RS"/>
        </w:rPr>
      </w:pPr>
      <w:r>
        <w:rPr>
          <w:lang w:val="sr-Cyrl-RS"/>
        </w:rPr>
        <w:t xml:space="preserve">у 4 </w:t>
      </w:r>
      <w:r w:rsidRPr="001B0EA8">
        <w:rPr>
          <w:lang w:val="sr-Cyrl-RS"/>
        </w:rPr>
        <w:t>поступка</w:t>
      </w:r>
      <w:r>
        <w:rPr>
          <w:lang w:val="sr-Cyrl-RS"/>
        </w:rPr>
        <w:t xml:space="preserve"> су</w:t>
      </w:r>
      <w:r w:rsidRPr="001B0EA8">
        <w:rPr>
          <w:lang w:val="sr-Cyrl-RS"/>
        </w:rPr>
        <w:t xml:space="preserve"> утврђене неправилности</w:t>
      </w:r>
      <w:r>
        <w:rPr>
          <w:lang w:val="sr-Cyrl-RS"/>
        </w:rPr>
        <w:t>;</w:t>
      </w:r>
    </w:p>
    <w:p w:rsidR="001B0EA8" w:rsidRDefault="001B0EA8" w:rsidP="001B0EA8">
      <w:pPr>
        <w:pStyle w:val="ListParagraph"/>
        <w:numPr>
          <w:ilvl w:val="0"/>
          <w:numId w:val="23"/>
        </w:numPr>
        <w:spacing w:after="0"/>
        <w:rPr>
          <w:lang w:val="sr-Cyrl-RS"/>
        </w:rPr>
      </w:pPr>
      <w:r>
        <w:rPr>
          <w:lang w:val="sr-Cyrl-RS"/>
        </w:rPr>
        <w:t>1 ванредни непоредни надзор није извршен због несарадње стечајног управника.</w:t>
      </w:r>
    </w:p>
    <w:p w:rsidR="001B0EA8" w:rsidRPr="001B0EA8" w:rsidRDefault="001B0EA8" w:rsidP="001B0EA8">
      <w:pPr>
        <w:pStyle w:val="ListParagraph"/>
        <w:spacing w:after="0"/>
        <w:rPr>
          <w:lang w:val="sr-Cyrl-RS"/>
        </w:rPr>
      </w:pPr>
    </w:p>
    <w:p w:rsidR="00203BCC" w:rsidRPr="00570D1A" w:rsidRDefault="00736A46">
      <w:pPr>
        <w:pStyle w:val="Heading2"/>
        <w:rPr>
          <w:lang w:val="sr-Cyrl-RS"/>
        </w:rPr>
      </w:pPr>
      <w:bookmarkStart w:id="8" w:name="_Toc467576828"/>
      <w:r w:rsidRPr="003868DC">
        <w:rPr>
          <w:lang w:val="sr-Cyrl-RS"/>
        </w:rPr>
        <w:lastRenderedPageBreak/>
        <w:t>Испитивање рада стечајних управника по притужбама</w:t>
      </w:r>
      <w:bookmarkEnd w:id="8"/>
    </w:p>
    <w:p w:rsidR="00060A61" w:rsidRDefault="00315B9A" w:rsidP="00060A61">
      <w:pPr>
        <w:spacing w:after="0"/>
        <w:rPr>
          <w:lang w:val="sr-Cyrl-RS"/>
        </w:rPr>
      </w:pPr>
      <w:r>
        <w:rPr>
          <w:lang w:val="sr-Cyrl-RS"/>
        </w:rPr>
        <w:t xml:space="preserve">У току извештајног периода примљено је укупно </w:t>
      </w:r>
      <w:r w:rsidR="003868DC">
        <w:t>120</w:t>
      </w:r>
      <w:r>
        <w:rPr>
          <w:lang w:val="sr-Cyrl-RS"/>
        </w:rPr>
        <w:t xml:space="preserve"> притужби на рад стечајних управника, </w:t>
      </w:r>
      <w:r w:rsidR="00060A61">
        <w:rPr>
          <w:lang w:val="sr-Cyrl-RS"/>
        </w:rPr>
        <w:t>по основу којих су сачињени извештаји о извршеном испитивњу рада стечајног управника, и то:</w:t>
      </w:r>
    </w:p>
    <w:p w:rsidR="001C7D97" w:rsidRPr="00060A61" w:rsidRDefault="00060A61" w:rsidP="00060A61">
      <w:pPr>
        <w:pStyle w:val="ListParagraph"/>
        <w:numPr>
          <w:ilvl w:val="0"/>
          <w:numId w:val="24"/>
        </w:numPr>
      </w:pPr>
      <w:r>
        <w:rPr>
          <w:lang w:val="sr-Cyrl-RS"/>
        </w:rPr>
        <w:t>са утврђеним неправилностим</w:t>
      </w:r>
      <w:r w:rsidR="008E47FB">
        <w:rPr>
          <w:lang w:val="sr-Cyrl-RS"/>
        </w:rPr>
        <w:t xml:space="preserve">а – </w:t>
      </w:r>
      <w:r w:rsidR="003868DC">
        <w:t>18</w:t>
      </w:r>
    </w:p>
    <w:p w:rsidR="00060A61" w:rsidRPr="00060A61" w:rsidRDefault="008E47FB" w:rsidP="00060A61">
      <w:pPr>
        <w:pStyle w:val="ListParagraph"/>
        <w:numPr>
          <w:ilvl w:val="0"/>
          <w:numId w:val="24"/>
        </w:numPr>
      </w:pPr>
      <w:r>
        <w:rPr>
          <w:lang w:val="sr-Cyrl-RS"/>
        </w:rPr>
        <w:t xml:space="preserve">без утврђених неправилности – </w:t>
      </w:r>
      <w:r w:rsidR="003868DC">
        <w:t>70</w:t>
      </w:r>
    </w:p>
    <w:p w:rsidR="00060A61" w:rsidRPr="00060A61" w:rsidRDefault="00060A61" w:rsidP="00060A61">
      <w:pPr>
        <w:pStyle w:val="ListParagraph"/>
        <w:numPr>
          <w:ilvl w:val="0"/>
          <w:numId w:val="24"/>
        </w:numPr>
      </w:pPr>
      <w:r>
        <w:rPr>
          <w:lang w:val="sr-Cyrl-RS"/>
        </w:rPr>
        <w:t>констатована ненадлежност Агенције и подносилац притужбе упућен на надлежну институцију – 5</w:t>
      </w:r>
    </w:p>
    <w:p w:rsidR="00060A61" w:rsidRPr="00060A61" w:rsidRDefault="00060A61" w:rsidP="00060A61">
      <w:pPr>
        <w:pStyle w:val="ListParagraph"/>
        <w:numPr>
          <w:ilvl w:val="0"/>
          <w:numId w:val="24"/>
        </w:numPr>
      </w:pPr>
      <w:r>
        <w:rPr>
          <w:lang w:val="sr-Cyrl-RS"/>
        </w:rPr>
        <w:t>констат</w:t>
      </w:r>
      <w:r w:rsidR="003868DC">
        <w:rPr>
          <w:lang w:val="sr-Cyrl-RS"/>
        </w:rPr>
        <w:t>ована немогућност поступања – 24</w:t>
      </w:r>
    </w:p>
    <w:p w:rsidR="00060A61" w:rsidRPr="00383A1E" w:rsidRDefault="003868DC" w:rsidP="00060A61">
      <w:pPr>
        <w:pStyle w:val="ListParagraph"/>
        <w:numPr>
          <w:ilvl w:val="0"/>
          <w:numId w:val="24"/>
        </w:numPr>
      </w:pPr>
      <w:r>
        <w:rPr>
          <w:lang w:val="sr-Cyrl-RS"/>
        </w:rPr>
        <w:t>у току израда извештаја - 3</w:t>
      </w:r>
    </w:p>
    <w:p w:rsidR="008E7ECD" w:rsidRDefault="00C967E4" w:rsidP="00060A61">
      <w:pPr>
        <w:spacing w:after="120"/>
        <w:rPr>
          <w:lang w:val="sr-Cyrl-RS"/>
        </w:rPr>
      </w:pPr>
      <w:r>
        <w:rPr>
          <w:lang w:val="sr-Cyrl-RS"/>
        </w:rPr>
        <w:t xml:space="preserve">Према евиденцији Агенције, у периоду од </w:t>
      </w:r>
      <w:r w:rsidRPr="00905795">
        <w:rPr>
          <w:lang w:val="sr-Cyrl-RS"/>
        </w:rPr>
        <w:t>20</w:t>
      </w:r>
      <w:r w:rsidR="008F05A5">
        <w:rPr>
          <w:lang w:val="sr-Cyrl-RS"/>
        </w:rPr>
        <w:t>11</w:t>
      </w:r>
      <w:r w:rsidRPr="00905795">
        <w:rPr>
          <w:lang w:val="sr-Cyrl-RS"/>
        </w:rPr>
        <w:t>.-201</w:t>
      </w:r>
      <w:r w:rsidR="008F05A5">
        <w:rPr>
          <w:lang w:val="sr-Cyrl-RS"/>
        </w:rPr>
        <w:t>6</w:t>
      </w:r>
      <w:r w:rsidRPr="00905795">
        <w:rPr>
          <w:lang w:val="sr-Cyrl-RS"/>
        </w:rPr>
        <w:t xml:space="preserve">. године примљено је укупно </w:t>
      </w:r>
      <w:r w:rsidR="008F05A5">
        <w:rPr>
          <w:lang w:val="sr-Cyrl-RS"/>
        </w:rPr>
        <w:t>7</w:t>
      </w:r>
      <w:r w:rsidR="009D7B5E">
        <w:t>69</w:t>
      </w:r>
      <w:r>
        <w:rPr>
          <w:lang w:val="sr-Cyrl-RS"/>
        </w:rPr>
        <w:t xml:space="preserve"> притужби на рад стечајних управника.</w:t>
      </w:r>
      <w:r w:rsidR="00060A61">
        <w:rPr>
          <w:lang w:val="sr-Cyrl-RS"/>
        </w:rPr>
        <w:t xml:space="preserve"> </w:t>
      </w:r>
    </w:p>
    <w:p w:rsidR="00060A61" w:rsidRPr="00C82509" w:rsidRDefault="00060A61" w:rsidP="00060A61">
      <w:pPr>
        <w:spacing w:after="120"/>
        <w:rPr>
          <w:noProof/>
          <w:lang w:val="sr-Cyrl-RS" w:eastAsia="en-US"/>
        </w:rPr>
      </w:pPr>
      <w:r w:rsidRPr="00174C16">
        <w:rPr>
          <w:noProof/>
          <w:u w:val="single"/>
          <w:lang w:val="sr-Cyrl-RS" w:eastAsia="en-US"/>
        </w:rPr>
        <w:t xml:space="preserve">Графикон број </w:t>
      </w:r>
      <w:r>
        <w:rPr>
          <w:noProof/>
          <w:u w:val="single"/>
          <w:lang w:val="sr-Cyrl-RS" w:eastAsia="en-US"/>
        </w:rPr>
        <w:t>5</w:t>
      </w:r>
      <w:r w:rsidRPr="00174C16">
        <w:rPr>
          <w:noProof/>
          <w:u w:val="single"/>
          <w:lang w:val="sr-Cyrl-RS" w:eastAsia="en-US"/>
        </w:rPr>
        <w:t>.</w:t>
      </w:r>
      <w:r>
        <w:rPr>
          <w:noProof/>
          <w:lang w:val="sr-Cyrl-RS" w:eastAsia="en-US"/>
        </w:rPr>
        <w:t xml:space="preserve"> приказује </w:t>
      </w:r>
      <w:r w:rsidRPr="00174C16">
        <w:rPr>
          <w:b/>
          <w:noProof/>
          <w:lang w:val="sr-Cyrl-RS" w:eastAsia="en-US"/>
        </w:rPr>
        <w:t xml:space="preserve">број </w:t>
      </w:r>
      <w:r w:rsidR="006C39F5">
        <w:rPr>
          <w:b/>
          <w:noProof/>
          <w:lang w:val="sr-Cyrl-RS" w:eastAsia="en-US"/>
        </w:rPr>
        <w:t>примљених притужби по</w:t>
      </w:r>
      <w:r>
        <w:rPr>
          <w:b/>
          <w:noProof/>
          <w:lang w:val="sr-Cyrl-RS" w:eastAsia="en-US"/>
        </w:rPr>
        <w:t xml:space="preserve"> годинама (2011-2016) и број извештаја по притужбама са утврђеним неправилностима</w:t>
      </w:r>
    </w:p>
    <w:p w:rsidR="008F05A5" w:rsidRDefault="008F05A5" w:rsidP="00D52B1F">
      <w:pPr>
        <w:jc w:val="center"/>
        <w:rPr>
          <w:noProof/>
          <w:lang w:val="sr-Latn-RS" w:eastAsia="sr-Latn-RS"/>
        </w:rPr>
      </w:pPr>
    </w:p>
    <w:p w:rsidR="00BA448C" w:rsidRPr="004E24F8" w:rsidRDefault="00BA448C" w:rsidP="004E24F8">
      <w:pPr>
        <w:jc w:val="center"/>
        <w:rPr>
          <w:noProof/>
          <w:lang w:val="sr-Latn-RS" w:eastAsia="sr-Latn-RS"/>
        </w:rPr>
      </w:pPr>
      <w:r>
        <w:rPr>
          <w:noProof/>
          <w:lang w:eastAsia="en-US"/>
        </w:rPr>
        <w:drawing>
          <wp:inline distT="0" distB="0" distL="0" distR="0" wp14:anchorId="0D5C4583" wp14:editId="58094048">
            <wp:extent cx="4572000" cy="2743200"/>
            <wp:effectExtent l="0" t="0" r="0" b="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9B038A-8B4C-48E1-8631-7C6214485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E47FB" w:rsidRDefault="008E47FB" w:rsidP="008E47FB">
      <w:pPr>
        <w:spacing w:after="0"/>
        <w:rPr>
          <w:lang w:val="sr-Cyrl-RS"/>
        </w:rPr>
      </w:pPr>
      <w:r>
        <w:rPr>
          <w:lang w:val="sr-Cyrl-RS"/>
        </w:rPr>
        <w:t xml:space="preserve">У наставку наводимо опис </w:t>
      </w:r>
      <w:r w:rsidR="008E7ECD">
        <w:rPr>
          <w:lang w:val="sr-Cyrl-RS"/>
        </w:rPr>
        <w:t>најчешћe</w:t>
      </w:r>
      <w:r w:rsidR="00CF5105">
        <w:rPr>
          <w:lang w:val="sr-Cyrl-RS"/>
        </w:rPr>
        <w:t xml:space="preserve"> </w:t>
      </w:r>
      <w:r>
        <w:rPr>
          <w:lang w:val="sr-Cyrl-RS"/>
        </w:rPr>
        <w:t>утврђених неправилности у раду стечајних управника:</w:t>
      </w:r>
    </w:p>
    <w:p w:rsidR="00D52B1F" w:rsidRDefault="00D52B1F" w:rsidP="0009340E">
      <w:pPr>
        <w:pStyle w:val="ListParagraph"/>
        <w:numPr>
          <w:ilvl w:val="0"/>
          <w:numId w:val="31"/>
        </w:numPr>
        <w:spacing w:after="0"/>
        <w:jc w:val="both"/>
        <w:rPr>
          <w:lang w:val="sr-Cyrl-RS"/>
        </w:rPr>
      </w:pPr>
      <w:r w:rsidRPr="00D52B1F">
        <w:rPr>
          <w:lang w:val="sr-Cyrl-RS"/>
        </w:rPr>
        <w:t xml:space="preserve">стечајни управник </w:t>
      </w:r>
      <w:r w:rsidR="0039246E">
        <w:rPr>
          <w:lang w:val="sr-Latn-RS"/>
        </w:rPr>
        <w:t xml:space="preserve">je </w:t>
      </w:r>
      <w:r w:rsidR="0039246E">
        <w:rPr>
          <w:lang w:val="sr-Cyrl-RS"/>
        </w:rPr>
        <w:t xml:space="preserve">закључиo </w:t>
      </w:r>
      <w:r w:rsidRPr="00D52B1F">
        <w:rPr>
          <w:lang w:val="sr-Cyrl-RS"/>
        </w:rPr>
        <w:t xml:space="preserve">уговор о закупу имовине стечајног дужника </w:t>
      </w:r>
      <w:r w:rsidR="0039246E">
        <w:rPr>
          <w:lang w:val="sr-Cyrl-RS"/>
        </w:rPr>
        <w:t>без сагласности о</w:t>
      </w:r>
      <w:r w:rsidRPr="00D52B1F">
        <w:rPr>
          <w:lang w:val="sr-Cyrl-RS"/>
        </w:rPr>
        <w:t>дбора поверилаца</w:t>
      </w:r>
      <w:r w:rsidR="0039246E">
        <w:rPr>
          <w:lang w:val="sr-Cyrl-RS"/>
        </w:rPr>
        <w:t>;</w:t>
      </w:r>
    </w:p>
    <w:p w:rsidR="00D52B1F" w:rsidRDefault="0039246E" w:rsidP="0009340E">
      <w:pPr>
        <w:pStyle w:val="ListParagraph"/>
        <w:numPr>
          <w:ilvl w:val="0"/>
          <w:numId w:val="31"/>
        </w:numPr>
        <w:spacing w:after="0"/>
        <w:jc w:val="both"/>
        <w:rPr>
          <w:lang w:val="sr-Cyrl-RS"/>
        </w:rPr>
      </w:pPr>
      <w:r w:rsidRPr="0039246E">
        <w:rPr>
          <w:lang w:val="sr-Cyrl-RS"/>
        </w:rPr>
        <w:t>стечајни управник није доставио</w:t>
      </w:r>
      <w:r w:rsidR="00D52B1F" w:rsidRPr="0039246E">
        <w:rPr>
          <w:lang w:val="sr-Cyrl-RS"/>
        </w:rPr>
        <w:t xml:space="preserve"> обавештења о намери, плану продаје, начину продаје, роковима продаје лицима предвиђеним чланом</w:t>
      </w:r>
      <w:r>
        <w:rPr>
          <w:lang w:val="sr-Cyrl-RS"/>
        </w:rPr>
        <w:t xml:space="preserve"> 133. став 1. Закона о стечају;</w:t>
      </w:r>
    </w:p>
    <w:p w:rsidR="0039246E" w:rsidRDefault="0039246E" w:rsidP="0009340E">
      <w:pPr>
        <w:pStyle w:val="ListParagraph"/>
        <w:numPr>
          <w:ilvl w:val="0"/>
          <w:numId w:val="31"/>
        </w:numPr>
        <w:spacing w:after="0"/>
        <w:jc w:val="both"/>
        <w:rPr>
          <w:lang w:val="sr-Cyrl-RS"/>
        </w:rPr>
      </w:pPr>
      <w:r w:rsidRPr="0039246E">
        <w:rPr>
          <w:lang w:val="sr-Cyrl-RS"/>
        </w:rPr>
        <w:t>с</w:t>
      </w:r>
      <w:r w:rsidR="00D52B1F" w:rsidRPr="0039246E">
        <w:rPr>
          <w:lang w:val="sr-Cyrl-RS"/>
        </w:rPr>
        <w:t xml:space="preserve">течајни управник је 5 година након одлуке којом је признао потраживање </w:t>
      </w:r>
      <w:r>
        <w:rPr>
          <w:lang w:val="sr-Cyrl-RS"/>
        </w:rPr>
        <w:t>п</w:t>
      </w:r>
      <w:r w:rsidR="00D52B1F" w:rsidRPr="0039246E">
        <w:rPr>
          <w:lang w:val="sr-Cyrl-RS"/>
        </w:rPr>
        <w:t xml:space="preserve">ритужиоца, а суд закључком исто утврдио, предузимао радње у циљу поновног утврђивања основаности већ утврђеног потраживања, тј. поднео тужбу за побијање правних радњи стечајног дужника на основу које је и признао потраживање </w:t>
      </w:r>
      <w:r>
        <w:rPr>
          <w:lang w:val="sr-Cyrl-RS"/>
        </w:rPr>
        <w:t>п</w:t>
      </w:r>
      <w:r w:rsidR="00D52B1F" w:rsidRPr="0039246E">
        <w:rPr>
          <w:lang w:val="sr-Cyrl-RS"/>
        </w:rPr>
        <w:t xml:space="preserve">ритужиоца, о чему је обавестио суд и предложио суду измену закључка о листи признатих и оспорених потраживања, а што је у коначном исходу резултирало доношењем закључка о измени закључка о листи признатих и оспорених потраживања, којим је </w:t>
      </w:r>
      <w:r>
        <w:rPr>
          <w:lang w:val="sr-Cyrl-RS"/>
        </w:rPr>
        <w:t>п</w:t>
      </w:r>
      <w:r w:rsidR="00D52B1F" w:rsidRPr="0039246E">
        <w:rPr>
          <w:lang w:val="sr-Cyrl-RS"/>
        </w:rPr>
        <w:t>ритужиоцу, п</w:t>
      </w:r>
      <w:r>
        <w:rPr>
          <w:lang w:val="sr-Cyrl-RS"/>
        </w:rPr>
        <w:t>отраживање признато као условно;</w:t>
      </w:r>
    </w:p>
    <w:p w:rsidR="008E47FB" w:rsidRPr="0039246E" w:rsidRDefault="008E47FB" w:rsidP="0009340E">
      <w:pPr>
        <w:pStyle w:val="ListParagraph"/>
        <w:numPr>
          <w:ilvl w:val="0"/>
          <w:numId w:val="31"/>
        </w:numPr>
        <w:spacing w:after="0"/>
        <w:jc w:val="both"/>
        <w:rPr>
          <w:lang w:val="sr-Cyrl-RS"/>
        </w:rPr>
      </w:pPr>
      <w:r w:rsidRPr="008E47FB">
        <w:t xml:space="preserve">стечајни управник није, за потребе </w:t>
      </w:r>
      <w:r w:rsidR="00797F19">
        <w:t>продаје имовине која је одржана</w:t>
      </w:r>
      <w:r w:rsidR="0039246E">
        <w:t xml:space="preserve"> а затим </w:t>
      </w:r>
      <w:r w:rsidRPr="008E47FB">
        <w:t>поништена</w:t>
      </w:r>
      <w:r w:rsidR="00797F19">
        <w:rPr>
          <w:lang w:val="sr-Cyrl-RS"/>
        </w:rPr>
        <w:t>,</w:t>
      </w:r>
      <w:r w:rsidRPr="008E47FB">
        <w:t xml:space="preserve"> израдио продајну документацију која садржи све информације о предмету продаје и није потенцијалне купце обавестио о свим недостацима на имовини која је била предмет продаје који су му б</w:t>
      </w:r>
      <w:r w:rsidR="0039246E">
        <w:t>или познати у тренутку продаје</w:t>
      </w:r>
      <w:r w:rsidR="0039246E">
        <w:rPr>
          <w:lang w:val="sr-Cyrl-RS"/>
        </w:rPr>
        <w:t>;</w:t>
      </w:r>
    </w:p>
    <w:p w:rsidR="008E47FB" w:rsidRDefault="008E47FB" w:rsidP="0009340E">
      <w:pPr>
        <w:pStyle w:val="ListParagraph"/>
        <w:numPr>
          <w:ilvl w:val="0"/>
          <w:numId w:val="30"/>
        </w:numPr>
        <w:spacing w:after="0"/>
        <w:jc w:val="both"/>
        <w:rPr>
          <w:lang w:val="sr-Cyrl-RS"/>
        </w:rPr>
      </w:pPr>
      <w:r w:rsidRPr="008E47FB">
        <w:rPr>
          <w:lang w:val="sr-Cyrl-RS"/>
        </w:rPr>
        <w:lastRenderedPageBreak/>
        <w:t xml:space="preserve">стечајни управник није у року из огласа извршио повраћај депозита за учешће на јавном надметању </w:t>
      </w:r>
      <w:r w:rsidR="0039246E">
        <w:rPr>
          <w:lang w:val="sr-Cyrl-RS"/>
        </w:rPr>
        <w:t>п</w:t>
      </w:r>
      <w:r w:rsidRPr="008E47FB">
        <w:rPr>
          <w:lang w:val="sr-Cyrl-RS"/>
        </w:rPr>
        <w:t xml:space="preserve">ритужиоцу као другом најбољем понуђачу, већ је то </w:t>
      </w:r>
      <w:r w:rsidR="00003E59">
        <w:rPr>
          <w:lang w:val="sr-Cyrl-RS"/>
        </w:rPr>
        <w:t>након више од три месеца од истека рока</w:t>
      </w:r>
      <w:r w:rsidRPr="008E47FB">
        <w:rPr>
          <w:lang w:val="sr-Cyrl-RS"/>
        </w:rPr>
        <w:t>, након што је донео одлуку о поништав</w:t>
      </w:r>
      <w:r w:rsidR="008E7ECD">
        <w:rPr>
          <w:lang w:val="sr-Cyrl-RS"/>
        </w:rPr>
        <w:t>ању предметног јавног надметања.</w:t>
      </w:r>
    </w:p>
    <w:p w:rsidR="002F1D95" w:rsidRDefault="002F1D95" w:rsidP="0009340E">
      <w:pPr>
        <w:pStyle w:val="ListParagraph"/>
        <w:numPr>
          <w:ilvl w:val="0"/>
          <w:numId w:val="30"/>
        </w:numPr>
        <w:spacing w:after="0"/>
        <w:jc w:val="both"/>
        <w:rPr>
          <w:lang w:val="sr-Cyrl-RS"/>
        </w:rPr>
      </w:pPr>
      <w:r>
        <w:rPr>
          <w:lang w:val="sr-Cyrl-RS"/>
        </w:rPr>
        <w:t>стечајни управник није у року измирио обавезе по основу судских такси (ни по опомени суда, плаћена судска такса увећана за 50% по основу казнене таксе;</w:t>
      </w:r>
    </w:p>
    <w:p w:rsidR="002F1D95" w:rsidRPr="008E7ECD" w:rsidRDefault="002F1D95" w:rsidP="0009340E">
      <w:pPr>
        <w:pStyle w:val="ListParagraph"/>
        <w:numPr>
          <w:ilvl w:val="0"/>
          <w:numId w:val="30"/>
        </w:numPr>
        <w:spacing w:after="0"/>
        <w:jc w:val="both"/>
        <w:rPr>
          <w:lang w:val="sr-Cyrl-RS"/>
        </w:rPr>
      </w:pPr>
      <w:r>
        <w:rPr>
          <w:lang w:val="sr-Cyrl-RS"/>
        </w:rPr>
        <w:t>стечајни управник намирио повериоце по основу нацрта за деобу (решење о деоби суд није донео).</w:t>
      </w:r>
    </w:p>
    <w:p w:rsidR="00A72E47" w:rsidRPr="00D5222D" w:rsidRDefault="00A72E47" w:rsidP="004E24F8"/>
    <w:p w:rsidR="001B2CA2" w:rsidRPr="002C6D10" w:rsidRDefault="001B2CA2" w:rsidP="001B2CA2">
      <w:pPr>
        <w:pStyle w:val="Heading1"/>
        <w:rPr>
          <w:lang w:val="sr-Cyrl-RS"/>
        </w:rPr>
      </w:pPr>
      <w:bookmarkStart w:id="9" w:name="_Toc467576830"/>
      <w:r w:rsidRPr="001B2CA2">
        <w:rPr>
          <w:lang w:val="sr-Cyrl-RS"/>
        </w:rPr>
        <w:t>Тарифа АЛСУ</w:t>
      </w:r>
      <w:bookmarkEnd w:id="9"/>
    </w:p>
    <w:p w:rsidR="006D4474" w:rsidRPr="006D4474" w:rsidRDefault="008D2075" w:rsidP="00BD14E7">
      <w:pPr>
        <w:jc w:val="both"/>
        <w:rPr>
          <w:lang w:val="sr-Cyrl-RS"/>
        </w:rPr>
      </w:pPr>
      <w:r>
        <w:rPr>
          <w:lang w:val="sr-Cyrl-RS"/>
        </w:rPr>
        <w:t>Тарифа</w:t>
      </w:r>
      <w:r w:rsidR="006D4474" w:rsidRPr="006D4474">
        <w:rPr>
          <w:lang w:val="sr-Cyrl-RS"/>
        </w:rPr>
        <w:t xml:space="preserve"> о ценама за послове из надлежности Агенције за лиценцирање стечајних управника</w:t>
      </w:r>
      <w:r>
        <w:rPr>
          <w:lang w:val="sr-Cyrl-RS"/>
        </w:rPr>
        <w:t xml:space="preserve"> (у даљем тексту: </w:t>
      </w:r>
      <w:r w:rsidR="00DF0A80">
        <w:rPr>
          <w:lang w:val="sr-Cyrl-RS"/>
        </w:rPr>
        <w:t>Т</w:t>
      </w:r>
      <w:r>
        <w:rPr>
          <w:lang w:val="sr-Cyrl-RS"/>
        </w:rPr>
        <w:t xml:space="preserve">арифа Агенције) </w:t>
      </w:r>
      <w:r w:rsidRPr="006D4474">
        <w:rPr>
          <w:lang w:val="sr-Cyrl-RS"/>
        </w:rPr>
        <w:t>којом се уређује  плаћање цене за послове из надлежности Агенције за лиценцирање стечајних управника</w:t>
      </w:r>
      <w:r>
        <w:rPr>
          <w:lang w:val="sr-Cyrl-RS"/>
        </w:rPr>
        <w:t>, донета</w:t>
      </w:r>
      <w:r w:rsidR="006D4474" w:rsidRPr="006D4474">
        <w:rPr>
          <w:lang w:val="sr-Cyrl-RS"/>
        </w:rPr>
        <w:t xml:space="preserve"> је</w:t>
      </w:r>
      <w:r>
        <w:rPr>
          <w:lang w:val="sr-Cyrl-RS"/>
        </w:rPr>
        <w:t xml:space="preserve"> од стране Управног</w:t>
      </w:r>
      <w:r w:rsidR="006D4474" w:rsidRPr="006D4474">
        <w:rPr>
          <w:lang w:val="sr-Cyrl-RS"/>
        </w:rPr>
        <w:t xml:space="preserve"> одбор</w:t>
      </w:r>
      <w:r>
        <w:rPr>
          <w:lang w:val="sr-Cyrl-RS"/>
        </w:rPr>
        <w:t>а</w:t>
      </w:r>
      <w:r w:rsidR="006D4474" w:rsidRPr="006D4474">
        <w:rPr>
          <w:lang w:val="sr-Cyrl-RS"/>
        </w:rPr>
        <w:t xml:space="preserve"> Агенције</w:t>
      </w:r>
      <w:r w:rsidR="00DF0A80" w:rsidRPr="00DF0A80">
        <w:rPr>
          <w:lang w:val="sr-Cyrl-RS"/>
        </w:rPr>
        <w:t xml:space="preserve"> </w:t>
      </w:r>
      <w:r w:rsidR="00DF0A80" w:rsidRPr="006D4474">
        <w:rPr>
          <w:lang w:val="sr-Cyrl-RS"/>
        </w:rPr>
        <w:t xml:space="preserve">и објављена </w:t>
      </w:r>
      <w:r w:rsidR="00DF0A80">
        <w:rPr>
          <w:lang w:val="sr-Cyrl-RS"/>
        </w:rPr>
        <w:t xml:space="preserve">је </w:t>
      </w:r>
      <w:r w:rsidR="00DF0A80" w:rsidRPr="006D4474">
        <w:rPr>
          <w:lang w:val="sr-Cyrl-RS"/>
        </w:rPr>
        <w:t>у „Службеном гласнику РС“, број 46/13</w:t>
      </w:r>
      <w:r>
        <w:rPr>
          <w:lang w:val="sr-Cyrl-RS"/>
        </w:rPr>
        <w:t>.</w:t>
      </w:r>
      <w:r w:rsidR="006D4474" w:rsidRPr="006D4474">
        <w:rPr>
          <w:lang w:val="sr-Cyrl-RS"/>
        </w:rPr>
        <w:t xml:space="preserve"> </w:t>
      </w:r>
      <w:r w:rsidR="00DF0A80">
        <w:rPr>
          <w:lang w:val="sr-Cyrl-RS"/>
        </w:rPr>
        <w:t>Н</w:t>
      </w:r>
      <w:r w:rsidR="006D4474" w:rsidRPr="006D4474">
        <w:rPr>
          <w:lang w:val="sr-Cyrl-RS"/>
        </w:rPr>
        <w:t xml:space="preserve">а </w:t>
      </w:r>
      <w:r w:rsidR="00DF0A80">
        <w:rPr>
          <w:lang w:val="sr-Cyrl-RS"/>
        </w:rPr>
        <w:t>наведену Тарифу</w:t>
      </w:r>
      <w:r w:rsidR="006D4474" w:rsidRPr="006D4474">
        <w:rPr>
          <w:lang w:val="sr-Cyrl-RS"/>
        </w:rPr>
        <w:t xml:space="preserve"> </w:t>
      </w:r>
      <w:r w:rsidR="00DF0A80">
        <w:rPr>
          <w:lang w:val="sr-Cyrl-RS"/>
        </w:rPr>
        <w:t>Агенције дата је сагласност од стране Владе</w:t>
      </w:r>
      <w:r w:rsidR="00DF0A80" w:rsidRPr="006D4474">
        <w:rPr>
          <w:lang w:val="sr-Cyrl-RS"/>
        </w:rPr>
        <w:t xml:space="preserve"> Републике Србије</w:t>
      </w:r>
      <w:r w:rsidR="006D4474" w:rsidRPr="006D4474">
        <w:rPr>
          <w:lang w:val="sr-Cyrl-RS"/>
        </w:rPr>
        <w:t xml:space="preserve">. </w:t>
      </w:r>
    </w:p>
    <w:p w:rsidR="006D4474" w:rsidRPr="006D4474" w:rsidRDefault="006D4474" w:rsidP="006D4474">
      <w:pPr>
        <w:rPr>
          <w:lang w:val="sr-Cyrl-RS"/>
        </w:rPr>
      </w:pPr>
      <w:r w:rsidRPr="006D4474">
        <w:rPr>
          <w:lang w:val="sr-Cyrl-RS"/>
        </w:rPr>
        <w:t xml:space="preserve">Висина цене из ове тарифе, одређује се по 7 тарифних бројева, и то: </w:t>
      </w:r>
    </w:p>
    <w:p w:rsidR="006D4474" w:rsidRDefault="006D4474" w:rsidP="00BD14E7">
      <w:pPr>
        <w:jc w:val="both"/>
        <w:rPr>
          <w:lang w:val="sr-Cyrl-RS"/>
        </w:rPr>
      </w:pPr>
      <w:r w:rsidRPr="00DF0A80">
        <w:rPr>
          <w:b/>
          <w:lang w:val="sr-Cyrl-RS"/>
        </w:rPr>
        <w:t>Тарифни бр. 1. до 3.</w:t>
      </w:r>
      <w:r w:rsidRPr="006D4474">
        <w:rPr>
          <w:lang w:val="sr-Cyrl-RS"/>
        </w:rPr>
        <w:t xml:space="preserve"> тичу се наплате тарифе по основу статуса стечајног управника (полагање стручног испита за добијање лиценце, издавање и обнављање лиценце, издавање разних потврда, брисање из Именика на лични захтев и сл.), где је обвезник плаћања стечајни управник, односно физичко лице које полаже стручни испит за добијање лиценце.</w:t>
      </w:r>
    </w:p>
    <w:p w:rsidR="00BE04B1" w:rsidRPr="006D4474" w:rsidRDefault="00BE04B1" w:rsidP="00BD14E7">
      <w:pPr>
        <w:jc w:val="both"/>
        <w:rPr>
          <w:lang w:val="sr-Cyrl-RS"/>
        </w:rPr>
      </w:pPr>
      <w:r>
        <w:rPr>
          <w:lang w:val="sr-Cyrl-RS"/>
        </w:rPr>
        <w:t>Т</w:t>
      </w:r>
      <w:r w:rsidRPr="006D4474">
        <w:rPr>
          <w:lang w:val="sr-Cyrl-RS"/>
        </w:rPr>
        <w:t>оком с</w:t>
      </w:r>
      <w:r>
        <w:rPr>
          <w:lang w:val="sr-Cyrl-RS"/>
        </w:rPr>
        <w:t xml:space="preserve">тручног надзора утврђено </w:t>
      </w:r>
      <w:r w:rsidRPr="006D4474">
        <w:rPr>
          <w:lang w:val="sr-Cyrl-RS"/>
        </w:rPr>
        <w:t>да</w:t>
      </w:r>
      <w:r w:rsidR="00717543">
        <w:rPr>
          <w:lang w:val="sr-Cyrl-RS"/>
        </w:rPr>
        <w:t xml:space="preserve"> је</w:t>
      </w:r>
      <w:r w:rsidRPr="006D4474">
        <w:rPr>
          <w:lang w:val="sr-Cyrl-RS"/>
        </w:rPr>
        <w:t xml:space="preserve"> један број стечајних управника</w:t>
      </w:r>
      <w:r w:rsidR="00717543">
        <w:rPr>
          <w:lang w:val="sr-Cyrl-RS"/>
        </w:rPr>
        <w:t xml:space="preserve"> вршио плаћање обавезе по основу Тарифе Агенције за обнављање лиценце са рачуна стечајног дужника, било једнократно, било у мањим износима током дужег периода, притом евидентирајући тај трошак на позицији Остали трошкови уз сагласност стечајног судије.</w:t>
      </w:r>
    </w:p>
    <w:p w:rsidR="006D4474" w:rsidRPr="006D4474" w:rsidRDefault="00DF0A80" w:rsidP="006D4474">
      <w:pPr>
        <w:rPr>
          <w:lang w:val="sr-Cyrl-RS"/>
        </w:rPr>
      </w:pPr>
      <w:r>
        <w:rPr>
          <w:lang w:val="sr-Cyrl-RS"/>
        </w:rPr>
        <w:t>П</w:t>
      </w:r>
      <w:r w:rsidR="006D4474" w:rsidRPr="006D4474">
        <w:rPr>
          <w:lang w:val="sr-Cyrl-RS"/>
        </w:rPr>
        <w:t xml:space="preserve">редмет надзора рада стечајних управника, у вези са Тарифом Агенције, јесте да ли стечајни управници измирују обавезе по основу </w:t>
      </w:r>
      <w:r>
        <w:rPr>
          <w:lang w:val="sr-Cyrl-RS"/>
        </w:rPr>
        <w:t>т</w:t>
      </w:r>
      <w:r w:rsidR="006D4474" w:rsidRPr="006D4474">
        <w:rPr>
          <w:lang w:val="sr-Cyrl-RS"/>
        </w:rPr>
        <w:t xml:space="preserve">арифиних бр. 4. до </w:t>
      </w:r>
      <w:r w:rsidR="0023392F">
        <w:rPr>
          <w:lang w:val="sr-Latn-RS"/>
        </w:rPr>
        <w:t>6</w:t>
      </w:r>
      <w:r w:rsidR="006D4474" w:rsidRPr="006D4474">
        <w:rPr>
          <w:lang w:val="sr-Cyrl-RS"/>
        </w:rPr>
        <w:t>, и то:</w:t>
      </w:r>
    </w:p>
    <w:p w:rsidR="006D4474" w:rsidRPr="00DF0A80" w:rsidRDefault="006D4474" w:rsidP="006D4474">
      <w:pPr>
        <w:rPr>
          <w:b/>
          <w:color w:val="DF1010" w:themeColor="accent1" w:themeShade="BF"/>
          <w:lang w:val="sr-Cyrl-RS"/>
        </w:rPr>
      </w:pPr>
      <w:r w:rsidRPr="00DF0A80">
        <w:rPr>
          <w:b/>
          <w:color w:val="DF1010" w:themeColor="accent1" w:themeShade="BF"/>
          <w:lang w:val="sr-Cyrl-RS"/>
        </w:rPr>
        <w:t>Тарифни број 4.</w:t>
      </w:r>
    </w:p>
    <w:p w:rsidR="006D4474" w:rsidRPr="00DF0A80" w:rsidRDefault="006D4474" w:rsidP="00BD14E7">
      <w:pPr>
        <w:spacing w:after="120"/>
        <w:jc w:val="both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Цена за коришћење Система за аутоматизовано вођење стечајних поступака и електронско извештавање (ЕРС) износи 4.000,00 динара за сваки стечајни поступак у коме стечајни управник поступа, и то за сваку годину трајања појединачног стечајног поступка.</w:t>
      </w:r>
    </w:p>
    <w:p w:rsidR="006D4474" w:rsidRPr="00DF0A80" w:rsidRDefault="006D4474" w:rsidP="00BD14E7">
      <w:pPr>
        <w:spacing w:after="120"/>
        <w:jc w:val="both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Цена из става 1. oвог тарифног броја се плаћа истовремено са подношењем захтева за отварање налога за коришћење Система за аутоматизовано вођење стечајних поступака и електронско извештавање (ЕРС), а за сваку наредну годину трајања стечајног поступка плаћа се најкасније до 31. марта наредне године према броју предмета које стечајни управник води на дан 31. децембра текуће године.</w:t>
      </w:r>
    </w:p>
    <w:p w:rsidR="006D4474" w:rsidRPr="00DF0A80" w:rsidRDefault="006D4474" w:rsidP="00BD14E7">
      <w:pPr>
        <w:spacing w:after="120"/>
        <w:jc w:val="both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Обвезник плаћања по овом тарифном броју је стечајни управник који поступа у стечајним поступцима.</w:t>
      </w:r>
    </w:p>
    <w:p w:rsidR="006D4474" w:rsidRPr="006D4474" w:rsidRDefault="00DF0A80" w:rsidP="00BD14E7">
      <w:pPr>
        <w:jc w:val="both"/>
        <w:rPr>
          <w:lang w:val="sr-Cyrl-RS"/>
        </w:rPr>
      </w:pPr>
      <w:r>
        <w:rPr>
          <w:lang w:val="sr-Cyrl-RS"/>
        </w:rPr>
        <w:t>Т</w:t>
      </w:r>
      <w:r w:rsidR="006D4474" w:rsidRPr="006D4474">
        <w:rPr>
          <w:lang w:val="sr-Cyrl-RS"/>
        </w:rPr>
        <w:t>оком с</w:t>
      </w:r>
      <w:r>
        <w:rPr>
          <w:lang w:val="sr-Cyrl-RS"/>
        </w:rPr>
        <w:t xml:space="preserve">тручног надзора утврђено </w:t>
      </w:r>
      <w:r w:rsidR="006D4474" w:rsidRPr="006D4474">
        <w:rPr>
          <w:lang w:val="sr-Cyrl-RS"/>
        </w:rPr>
        <w:t>да један број стечајних управника уплаћује наведени износ са свог рачуна (рачуна предузетничке радње), а да касније током спровођења стечајног поступка задужује стечајну масу за наведени износ од 4.000,00 динара, што није у складу са Законом и подзаконским актима.</w:t>
      </w:r>
    </w:p>
    <w:p w:rsidR="006D4474" w:rsidRDefault="006D4474" w:rsidP="00BD14E7">
      <w:pPr>
        <w:jc w:val="both"/>
        <w:rPr>
          <w:lang w:val="sr-Cyrl-RS"/>
        </w:rPr>
      </w:pPr>
      <w:r w:rsidRPr="006D4474">
        <w:rPr>
          <w:lang w:val="sr-Cyrl-RS"/>
        </w:rPr>
        <w:lastRenderedPageBreak/>
        <w:t xml:space="preserve">С тим у вези, супервизори Агенције издају налог стечајном управнику да износ од 4.000,00 динара врате на рачун стечајног дужника и доказ доставе Агенцији (уколико је наведени износ већ исплаћен), или да искњиже/отпишу наведени износ за који је задужена стечајна маса (уколико до тренутка утврђивања неправилности није исплаћен). </w:t>
      </w:r>
    </w:p>
    <w:p w:rsidR="006D4474" w:rsidRPr="00DF0A80" w:rsidRDefault="006D4474" w:rsidP="006D4474">
      <w:pPr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Тарифни број 5.</w:t>
      </w:r>
    </w:p>
    <w:p w:rsidR="006D4474" w:rsidRPr="00DF0A80" w:rsidRDefault="006D4474" w:rsidP="00BD14E7">
      <w:pPr>
        <w:spacing w:after="120"/>
        <w:jc w:val="both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Цена за евидентирање и обраду података од значаја за спровођење стечајног поступка прикупљених и обрађених коришћењем Система за аутоматизовано вођење стечајних поступака и електронско извештавање (ЕРС) и објављивање на интернет порталу Агенције обавештења, информација и података о току стечајног поступка износи:</w:t>
      </w:r>
    </w:p>
    <w:p w:rsidR="006D4474" w:rsidRPr="00BE04B1" w:rsidRDefault="006D4474" w:rsidP="00BE04B1">
      <w:pPr>
        <w:pStyle w:val="ListParagraph"/>
        <w:numPr>
          <w:ilvl w:val="0"/>
          <w:numId w:val="35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6.000,00 динара за сваку годину трајања стечајног поступка за стечајне поступке чија ликвидациона вредност према економско-финансијском извештају стечајног управника износи 3 милиона динара или више, али највише 10 милиона динара;</w:t>
      </w:r>
    </w:p>
    <w:p w:rsidR="006D4474" w:rsidRPr="00BE04B1" w:rsidRDefault="006D4474" w:rsidP="00BE04B1">
      <w:pPr>
        <w:pStyle w:val="ListParagraph"/>
        <w:numPr>
          <w:ilvl w:val="0"/>
          <w:numId w:val="35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 xml:space="preserve">10.000,00 динара за сваку годину трајања стечајног поступка за стечајне поступке чија ликвидациона вредност према економско-финансијском извештају стечајног управника износи више од 10 милиона, али највише 50 милиона динара; </w:t>
      </w:r>
    </w:p>
    <w:p w:rsidR="006D4474" w:rsidRPr="00BE04B1" w:rsidRDefault="006D4474" w:rsidP="00BE04B1">
      <w:pPr>
        <w:pStyle w:val="ListParagraph"/>
        <w:numPr>
          <w:ilvl w:val="0"/>
          <w:numId w:val="35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 xml:space="preserve">32.000,00 динара за сваку годину трајања стечајног поступка за стечајне поступке чија ликвидациона вредност према економско-финансијском извештају стечајног управника износи више од 50 милиона, али највише 200 милиона динара; </w:t>
      </w:r>
    </w:p>
    <w:p w:rsidR="006D4474" w:rsidRPr="00BE04B1" w:rsidRDefault="006D4474" w:rsidP="00BE04B1">
      <w:pPr>
        <w:pStyle w:val="ListParagraph"/>
        <w:numPr>
          <w:ilvl w:val="0"/>
          <w:numId w:val="35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 xml:space="preserve">60.000,00 динара за сваку годину трајања стечајног поступка за стечајне поступке чија ликвидациона вредност према економско-финансијском извештају стечајног управника износи више од 200 милиона, али највише милијарду динара; </w:t>
      </w:r>
    </w:p>
    <w:p w:rsidR="006D4474" w:rsidRPr="00BE04B1" w:rsidRDefault="006D4474" w:rsidP="00BE04B1">
      <w:pPr>
        <w:pStyle w:val="ListParagraph"/>
        <w:numPr>
          <w:ilvl w:val="0"/>
          <w:numId w:val="35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 xml:space="preserve">120.000,00 динара за сваку годину трајања стечајног поступка за стечајне поступке чија ликвидациона вредност према економско-финансијском извештају стечајног управника износи више од милијарду динара. </w:t>
      </w:r>
    </w:p>
    <w:p w:rsidR="006D4474" w:rsidRPr="00BE04B1" w:rsidRDefault="006D4474" w:rsidP="00BE04B1">
      <w:pPr>
        <w:pStyle w:val="ListParagraph"/>
        <w:numPr>
          <w:ilvl w:val="0"/>
          <w:numId w:val="35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Цена из става 1. овог тарифног броја плаћа се у целости за годину у којој је отворен стечајни поступак у року од 45 дана од дана подношења захтева из Тарифног броја 4. ове одлуке, а за сваку наредну годину трајања стечајног поступка плаћа се најкасније до 31. марта текуће године.</w:t>
      </w:r>
    </w:p>
    <w:p w:rsidR="006D4474" w:rsidRDefault="006D4474" w:rsidP="006D4474">
      <w:pPr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Обвезник плаћања по овом тарифном броју је стечајни дужник.</w:t>
      </w:r>
    </w:p>
    <w:p w:rsidR="00ED776E" w:rsidRDefault="00ED776E" w:rsidP="00ED776E">
      <w:pPr>
        <w:spacing w:after="120"/>
        <w:rPr>
          <w:color w:val="auto"/>
          <w:lang w:val="sr-Cyrl-RS"/>
        </w:rPr>
      </w:pPr>
      <w:r>
        <w:rPr>
          <w:color w:val="auto"/>
          <w:lang w:val="sr-Cyrl-RS"/>
        </w:rPr>
        <w:t>На порталу Агенције објављуј</w:t>
      </w:r>
      <w:r w:rsidR="00BD14E7">
        <w:rPr>
          <w:color w:val="auto"/>
          <w:lang w:val="sr-Cyrl-RS"/>
        </w:rPr>
        <w:t>у се</w:t>
      </w:r>
      <w:r>
        <w:rPr>
          <w:color w:val="auto"/>
          <w:lang w:val="sr-Cyrl-RS"/>
        </w:rPr>
        <w:t xml:space="preserve"> битне информације о стечајним поступцима и стечајним управницима, и то: </w:t>
      </w:r>
    </w:p>
    <w:p w:rsidR="00ED776E" w:rsidRDefault="00A2197B" w:rsidP="00ED776E">
      <w:pPr>
        <w:pStyle w:val="ListParagraph"/>
        <w:numPr>
          <w:ilvl w:val="0"/>
          <w:numId w:val="36"/>
        </w:numPr>
        <w:rPr>
          <w:color w:val="auto"/>
          <w:lang w:val="sr-Cyrl-RS"/>
        </w:rPr>
      </w:pPr>
      <w:r>
        <w:rPr>
          <w:color w:val="auto"/>
          <w:lang w:val="sr-Cyrl-RS"/>
        </w:rPr>
        <w:t>основне информације о с</w:t>
      </w:r>
      <w:r w:rsidR="00ED776E" w:rsidRPr="00ED776E">
        <w:rPr>
          <w:color w:val="auto"/>
          <w:lang w:val="sr-Cyrl-RS"/>
        </w:rPr>
        <w:t xml:space="preserve">течајном дужнику (привредни суд, број стечајног предмета, датум отварања стечајног поступка, </w:t>
      </w:r>
      <w:r w:rsidR="00ED776E">
        <w:rPr>
          <w:color w:val="auto"/>
          <w:lang w:val="sr-Cyrl-RS"/>
        </w:rPr>
        <w:t>делатност стечајног дужника, матични број);</w:t>
      </w:r>
    </w:p>
    <w:p w:rsidR="00ED776E" w:rsidRDefault="00ED776E" w:rsidP="00ED776E">
      <w:pPr>
        <w:pStyle w:val="ListParagraph"/>
        <w:numPr>
          <w:ilvl w:val="0"/>
          <w:numId w:val="36"/>
        </w:numPr>
        <w:rPr>
          <w:color w:val="auto"/>
          <w:lang w:val="sr-Cyrl-RS"/>
        </w:rPr>
      </w:pPr>
      <w:r>
        <w:rPr>
          <w:color w:val="auto"/>
          <w:lang w:val="sr-Cyrl-RS"/>
        </w:rPr>
        <w:t>статус стечајног поступка;</w:t>
      </w:r>
    </w:p>
    <w:p w:rsidR="00ED776E" w:rsidRDefault="00ED776E" w:rsidP="00ED776E">
      <w:pPr>
        <w:pStyle w:val="ListParagraph"/>
        <w:numPr>
          <w:ilvl w:val="0"/>
          <w:numId w:val="36"/>
        </w:numPr>
        <w:rPr>
          <w:color w:val="auto"/>
          <w:lang w:val="sr-Cyrl-RS"/>
        </w:rPr>
      </w:pPr>
      <w:r>
        <w:rPr>
          <w:color w:val="auto"/>
          <w:lang w:val="sr-Cyrl-RS"/>
        </w:rPr>
        <w:t>име и презиме</w:t>
      </w:r>
      <w:r w:rsidRPr="00ED776E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стечајног судије;</w:t>
      </w:r>
    </w:p>
    <w:p w:rsidR="00ED776E" w:rsidRDefault="00ED776E" w:rsidP="00ED776E">
      <w:pPr>
        <w:pStyle w:val="ListParagraph"/>
        <w:numPr>
          <w:ilvl w:val="0"/>
          <w:numId w:val="36"/>
        </w:numPr>
        <w:rPr>
          <w:color w:val="auto"/>
          <w:lang w:val="sr-Cyrl-RS"/>
        </w:rPr>
      </w:pPr>
      <w:r>
        <w:rPr>
          <w:color w:val="auto"/>
          <w:lang w:val="sr-Cyrl-RS"/>
        </w:rPr>
        <w:t>име и презиме</w:t>
      </w:r>
      <w:r w:rsidRPr="00ED776E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стечајног управника;</w:t>
      </w:r>
    </w:p>
    <w:p w:rsidR="00ED776E" w:rsidRDefault="00ED776E" w:rsidP="00ED776E">
      <w:pPr>
        <w:pStyle w:val="ListParagraph"/>
        <w:numPr>
          <w:ilvl w:val="0"/>
          <w:numId w:val="36"/>
        </w:numPr>
        <w:rPr>
          <w:color w:val="auto"/>
          <w:lang w:val="sr-Cyrl-RS"/>
        </w:rPr>
      </w:pPr>
      <w:r>
        <w:rPr>
          <w:color w:val="auto"/>
          <w:lang w:val="sr-Cyrl-RS"/>
        </w:rPr>
        <w:t>тромесечни извештаји;</w:t>
      </w:r>
    </w:p>
    <w:p w:rsidR="005E14C0" w:rsidRDefault="00ED776E" w:rsidP="00ED776E">
      <w:pPr>
        <w:pStyle w:val="ListParagraph"/>
        <w:numPr>
          <w:ilvl w:val="0"/>
          <w:numId w:val="36"/>
        </w:numPr>
        <w:rPr>
          <w:color w:val="auto"/>
          <w:lang w:val="sr-Cyrl-RS"/>
        </w:rPr>
      </w:pPr>
      <w:r>
        <w:rPr>
          <w:color w:val="auto"/>
          <w:lang w:val="sr-Cyrl-RS"/>
        </w:rPr>
        <w:t>информације о продајама</w:t>
      </w:r>
      <w:r w:rsidR="005E14C0">
        <w:rPr>
          <w:color w:val="auto"/>
          <w:lang w:val="sr-Latn-RS"/>
        </w:rPr>
        <w:t xml:space="preserve"> </w:t>
      </w:r>
      <w:r w:rsidR="005E14C0">
        <w:rPr>
          <w:color w:val="auto"/>
          <w:lang w:val="sr-Cyrl-RS"/>
        </w:rPr>
        <w:t>и огласи;</w:t>
      </w:r>
    </w:p>
    <w:p w:rsidR="00ED776E" w:rsidRDefault="005E14C0" w:rsidP="000430F1">
      <w:pPr>
        <w:pStyle w:val="ListParagraph"/>
        <w:numPr>
          <w:ilvl w:val="0"/>
          <w:numId w:val="36"/>
        </w:numPr>
        <w:spacing w:after="120"/>
        <w:rPr>
          <w:color w:val="auto"/>
          <w:lang w:val="sr-Cyrl-RS"/>
        </w:rPr>
      </w:pPr>
      <w:r>
        <w:rPr>
          <w:color w:val="auto"/>
          <w:lang w:val="sr-Cyrl-RS"/>
        </w:rPr>
        <w:t>списак најважније имовине;</w:t>
      </w:r>
      <w:r w:rsidR="00ED776E" w:rsidRPr="00ED776E">
        <w:rPr>
          <w:color w:val="auto"/>
          <w:lang w:val="sr-Cyrl-RS"/>
        </w:rPr>
        <w:t xml:space="preserve"> </w:t>
      </w:r>
    </w:p>
    <w:p w:rsidR="005E14C0" w:rsidRDefault="00717543" w:rsidP="00BD14E7">
      <w:pPr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Напомињемо да је изменама и допунама Закона о стечају 2014. године </w:t>
      </w:r>
      <w:r w:rsidR="00ED776E">
        <w:rPr>
          <w:color w:val="auto"/>
          <w:lang w:val="sr-Cyrl-RS"/>
        </w:rPr>
        <w:t>уведена</w:t>
      </w:r>
      <w:r w:rsidRPr="00717543">
        <w:rPr>
          <w:color w:val="auto"/>
          <w:lang w:val="sr-Cyrl-RS"/>
        </w:rPr>
        <w:t xml:space="preserve"> обавеза да се огласи о продајама за које је изабрани начин продаје јавно надметање или јавно прикупљање понуда, објављују и на интернет страни Агенције, поред оглашавања у два високотиражна дневна листа који се дистрибуирају на целој територији Републике Србије.</w:t>
      </w:r>
      <w:r w:rsidR="005E14C0">
        <w:rPr>
          <w:color w:val="auto"/>
          <w:lang w:val="sr-Cyrl-RS"/>
        </w:rPr>
        <w:t xml:space="preserve"> С тим у вези, стечајни управници достављају </w:t>
      </w:r>
      <w:r w:rsidR="00BD14E7">
        <w:rPr>
          <w:color w:val="auto"/>
          <w:lang w:val="sr-Cyrl-RS"/>
        </w:rPr>
        <w:t>ЕРС подршци огласе који се</w:t>
      </w:r>
      <w:r w:rsidR="005E14C0">
        <w:rPr>
          <w:color w:val="auto"/>
          <w:lang w:val="sr-Cyrl-RS"/>
        </w:rPr>
        <w:t xml:space="preserve"> објављују на порталу Агенције. </w:t>
      </w:r>
    </w:p>
    <w:p w:rsidR="005E14C0" w:rsidRDefault="007913A4" w:rsidP="006D4474">
      <w:pPr>
        <w:rPr>
          <w:color w:val="auto"/>
          <w:lang w:val="sr-Cyrl-RS"/>
        </w:rPr>
      </w:pPr>
      <w:r>
        <w:rPr>
          <w:color w:val="auto"/>
          <w:lang w:val="sr-Cyrl-RS"/>
        </w:rPr>
        <w:lastRenderedPageBreak/>
        <w:t xml:space="preserve">За стечајне управнике </w:t>
      </w:r>
      <w:r w:rsidR="005E14C0">
        <w:rPr>
          <w:color w:val="auto"/>
          <w:lang w:val="sr-Cyrl-RS"/>
        </w:rPr>
        <w:t>обезбеђен</w:t>
      </w:r>
      <w:r>
        <w:rPr>
          <w:color w:val="auto"/>
          <w:lang w:val="sr-Cyrl-RS"/>
        </w:rPr>
        <w:t>а је обука асистената стечајних управника,</w:t>
      </w:r>
      <w:r w:rsidR="005E14C0">
        <w:rPr>
          <w:color w:val="auto"/>
          <w:lang w:val="sr-Cyrl-RS"/>
        </w:rPr>
        <w:t xml:space="preserve"> Приручник</w:t>
      </w:r>
      <w:r w:rsidR="005E14C0" w:rsidRPr="005E14C0">
        <w:t xml:space="preserve"> </w:t>
      </w:r>
      <w:r w:rsidR="005E14C0" w:rsidRPr="005E14C0">
        <w:rPr>
          <w:color w:val="auto"/>
          <w:lang w:val="sr-Cyrl-RS"/>
        </w:rPr>
        <w:t xml:space="preserve">за коришћење ЕРС-а, </w:t>
      </w:r>
      <w:r>
        <w:rPr>
          <w:color w:val="auto"/>
          <w:lang w:val="sr-Cyrl-RS"/>
        </w:rPr>
        <w:t xml:space="preserve">и </w:t>
      </w:r>
      <w:r w:rsidR="005E14C0">
        <w:rPr>
          <w:color w:val="auto"/>
          <w:lang w:val="sr-Cyrl-RS"/>
        </w:rPr>
        <w:t>одговори</w:t>
      </w:r>
      <w:r w:rsidR="005E14C0" w:rsidRPr="005E14C0">
        <w:rPr>
          <w:color w:val="auto"/>
          <w:lang w:val="sr-Cyrl-RS"/>
        </w:rPr>
        <w:t xml:space="preserve"> на најчешћа питања кој</w:t>
      </w:r>
      <w:r>
        <w:rPr>
          <w:color w:val="auto"/>
          <w:lang w:val="sr-Cyrl-RS"/>
        </w:rPr>
        <w:t>и</w:t>
      </w:r>
      <w:r w:rsidR="005E14C0" w:rsidRPr="005E14C0">
        <w:rPr>
          <w:color w:val="auto"/>
          <w:lang w:val="sr-Cyrl-RS"/>
        </w:rPr>
        <w:t xml:space="preserve"> се налазе на порталу Агенције</w:t>
      </w:r>
      <w:r>
        <w:rPr>
          <w:color w:val="auto"/>
          <w:lang w:val="sr-Cyrl-RS"/>
        </w:rPr>
        <w:t>, као и п</w:t>
      </w:r>
      <w:r w:rsidRPr="007913A4">
        <w:rPr>
          <w:color w:val="auto"/>
          <w:lang w:val="sr-Cyrl-RS"/>
        </w:rPr>
        <w:t xml:space="preserve">ружање корисничке подршке ЕРС-а </w:t>
      </w:r>
      <w:r>
        <w:rPr>
          <w:color w:val="auto"/>
          <w:lang w:val="sr-Cyrl-RS"/>
        </w:rPr>
        <w:t>путем мејл адресе</w:t>
      </w:r>
      <w:r w:rsidR="005E14C0" w:rsidRPr="005E14C0">
        <w:rPr>
          <w:color w:val="auto"/>
          <w:lang w:val="sr-Cyrl-RS"/>
        </w:rPr>
        <w:t xml:space="preserve"> </w:t>
      </w:r>
      <w:hyperlink r:id="rId21" w:history="1">
        <w:r w:rsidRPr="00A77D4B">
          <w:rPr>
            <w:rStyle w:val="Hyperlink"/>
            <w:lang w:val="sr-Cyrl-RS"/>
          </w:rPr>
          <w:t>podrskaERS@alsu.gov.rs</w:t>
        </w:r>
      </w:hyperlink>
      <w:r>
        <w:rPr>
          <w:color w:val="auto"/>
          <w:lang w:val="sr-Cyrl-RS"/>
        </w:rPr>
        <w:t xml:space="preserve"> </w:t>
      </w:r>
    </w:p>
    <w:p w:rsidR="004E24F8" w:rsidRDefault="004E24F8" w:rsidP="006D4474">
      <w:pPr>
        <w:rPr>
          <w:color w:val="DF1010" w:themeColor="accent1" w:themeShade="BF"/>
          <w:lang w:val="sr-Cyrl-RS"/>
        </w:rPr>
      </w:pPr>
    </w:p>
    <w:p w:rsidR="006D4474" w:rsidRPr="00DF0A80" w:rsidRDefault="006D4474" w:rsidP="006D4474">
      <w:pPr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Тарифни број 6.</w:t>
      </w:r>
    </w:p>
    <w:p w:rsidR="006D4474" w:rsidRPr="00DF0A80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 xml:space="preserve">Цена за обраду достављених писаних или електронских извештаја и друге документације о току стечајног поступка и стању стечајне масе при вршењу стручног надзора износи: </w:t>
      </w:r>
    </w:p>
    <w:p w:rsidR="006D4474" w:rsidRPr="00BE04B1" w:rsidRDefault="006D4474" w:rsidP="00BE04B1">
      <w:pPr>
        <w:pStyle w:val="ListParagraph"/>
        <w:numPr>
          <w:ilvl w:val="0"/>
          <w:numId w:val="34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10.000,00 динара за стечајне поступке у којима се у току кварталног периода оствари прилив по основу уновчења стечајне масе, наплаћених потраживања и давања у закуп имовине стечајног дужника у износу преко 500.000,01 динара или више, али највише 1.000.000,00 динара;</w:t>
      </w:r>
    </w:p>
    <w:p w:rsidR="006D4474" w:rsidRPr="00BE04B1" w:rsidRDefault="006D4474" w:rsidP="00BE04B1">
      <w:pPr>
        <w:pStyle w:val="ListParagraph"/>
        <w:numPr>
          <w:ilvl w:val="0"/>
          <w:numId w:val="34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20.000,00 динара за стечајне поступке у којима се у току кварталног периода оствари прилив по основу уновчења стечајне масе, наплаћених потраживања и давања у закуп имовине стечајног дужника у износу преко 1.000.000,01 динара или више, али највише 3.000.000,00 динара;</w:t>
      </w:r>
    </w:p>
    <w:p w:rsidR="006D4474" w:rsidRPr="00BE04B1" w:rsidRDefault="006D4474" w:rsidP="00BE04B1">
      <w:pPr>
        <w:pStyle w:val="ListParagraph"/>
        <w:numPr>
          <w:ilvl w:val="0"/>
          <w:numId w:val="34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80.000,00 динара за стечајне поступке у којима се у току кварталног периода оствари прилив по основу уновчења стечајне масе, наплаћених потраживања и давања у закуп имовине стечајног дужника у износу преко 3.000.000,01 динара или више, али највише 10.000.000,00 динара;</w:t>
      </w:r>
    </w:p>
    <w:p w:rsidR="006D4474" w:rsidRPr="00BE04B1" w:rsidRDefault="006D4474" w:rsidP="00BE04B1">
      <w:pPr>
        <w:pStyle w:val="ListParagraph"/>
        <w:numPr>
          <w:ilvl w:val="0"/>
          <w:numId w:val="34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300.000,00 динара за стечајне поступке у којима се у току кварталног периода оствари прилив по основу уновчења стечајне масе, наплаћених потраживања и давања у закуп имовине стечајног дужника у износу преко 10.000.000,01 динара или више, али највише 50.000.000,00 динара;</w:t>
      </w:r>
    </w:p>
    <w:p w:rsidR="006D4474" w:rsidRPr="00BE04B1" w:rsidRDefault="006D4474" w:rsidP="00BE04B1">
      <w:pPr>
        <w:pStyle w:val="ListParagraph"/>
        <w:numPr>
          <w:ilvl w:val="0"/>
          <w:numId w:val="34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800.000,00 динара за стечајне поступке у којима се у току кварталног периода оствари прилив по основу уновчења стечајне масе, наплаћених потраживања и давања у закуп имовине стечајног дужника у износу преко 50.000.000,01 динара или више, али највише 100.000.000,00 динара;</w:t>
      </w:r>
    </w:p>
    <w:p w:rsidR="006D4474" w:rsidRPr="00BE04B1" w:rsidRDefault="006D4474" w:rsidP="00BE04B1">
      <w:pPr>
        <w:pStyle w:val="ListParagraph"/>
        <w:numPr>
          <w:ilvl w:val="0"/>
          <w:numId w:val="34"/>
        </w:num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1.500.000,00 динара за стечајне поступке у којима се у току кварталног периода оствари прилив по основу уновчења стечајне масе, наплаћених потраживања и давања у закуп имовине стечајног дужника у износу више од 100.000.000,01 динара.</w:t>
      </w:r>
    </w:p>
    <w:p w:rsidR="006D4474" w:rsidRPr="00DF0A80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За обраду достављених писаних или електронских извештаја и друге документације о току стечајног поступка и стању стечајне масе у вршењу стручног надзора у којима у току одређеног кварталног периода није остварен прилив, такса из става 1. овог тарифног броја се не плаћа.</w:t>
      </w:r>
    </w:p>
    <w:p w:rsidR="006D4474" w:rsidRPr="00DF0A80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Цена из става 1. овог тарифног броја плаћа се у року од 15 дана од дана достављања извештаја за квартал у коме је остварен прилив по основу уновчења стечајне масе, наплаћених потраживања и давања у закуп имовине стечајног дужника.</w:t>
      </w:r>
    </w:p>
    <w:p w:rsidR="006D4474" w:rsidRPr="00DF0A80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DF0A80">
        <w:rPr>
          <w:color w:val="DF1010" w:themeColor="accent1" w:themeShade="BF"/>
          <w:lang w:val="sr-Cyrl-RS"/>
        </w:rPr>
        <w:t>Обвезник плаћања по овом тарифном броју је стечајни дужник, односно стечајна маса, осим у случају стечајних поступака у којима је за стечајног управника именована организација из члана 22. став 1. Закона о стечају.</w:t>
      </w:r>
    </w:p>
    <w:p w:rsidR="006D4474" w:rsidRPr="00BE04B1" w:rsidRDefault="006D4474" w:rsidP="006D4474">
      <w:pPr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Тарифни број 7.</w:t>
      </w:r>
    </w:p>
    <w:p w:rsidR="006D4474" w:rsidRPr="00BE04B1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Цена за издавање извештаја о извршеном испитивању рада стечајног управника по притужби на рад стечајног управника, износи 4.000,00 динара.</w:t>
      </w:r>
    </w:p>
    <w:p w:rsidR="006D4474" w:rsidRPr="00BE04B1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Цена по овом тарифном броју се плаћа истовремено са подношењем притужбе.</w:t>
      </w:r>
    </w:p>
    <w:p w:rsidR="006D4474" w:rsidRPr="00BE04B1" w:rsidRDefault="006D4474" w:rsidP="00BE04B1">
      <w:pPr>
        <w:spacing w:after="120"/>
        <w:rPr>
          <w:color w:val="DF1010" w:themeColor="accent1" w:themeShade="BF"/>
          <w:lang w:val="sr-Cyrl-RS"/>
        </w:rPr>
      </w:pPr>
      <w:r w:rsidRPr="00BE04B1">
        <w:rPr>
          <w:color w:val="DF1010" w:themeColor="accent1" w:themeShade="BF"/>
          <w:lang w:val="sr-Cyrl-RS"/>
        </w:rPr>
        <w:t>Обвезник плаћања по овом тарифном броју је подносилац притужбе.</w:t>
      </w:r>
    </w:p>
    <w:p w:rsidR="006D4474" w:rsidRPr="006D4474" w:rsidRDefault="006D4474" w:rsidP="00BD14E7">
      <w:pPr>
        <w:jc w:val="both"/>
        <w:rPr>
          <w:lang w:val="sr-Cyrl-RS"/>
        </w:rPr>
      </w:pPr>
      <w:r w:rsidRPr="006D4474">
        <w:rPr>
          <w:lang w:val="sr-Cyrl-RS"/>
        </w:rPr>
        <w:lastRenderedPageBreak/>
        <w:t>С тим у вези, напомињемо да неплаћање цене за издавање извештаја није ограничење за поступање супервизора по притужби. Дакле, супервизор спроводи поступак испитивања рада стечајног управника по притужби и кад цена за издавање извештаја није плаћена, с тим да се у тој ситуацији извештај не доставља притужиоцу.</w:t>
      </w:r>
    </w:p>
    <w:p w:rsidR="006D4474" w:rsidRPr="006D4474" w:rsidRDefault="00145DEC" w:rsidP="00BD14E7">
      <w:pPr>
        <w:jc w:val="both"/>
        <w:rPr>
          <w:lang w:val="sr-Cyrl-RS"/>
        </w:rPr>
      </w:pPr>
      <w:r>
        <w:rPr>
          <w:lang w:val="sr-Cyrl-RS"/>
        </w:rPr>
        <w:t xml:space="preserve">Према подацима Агенције, </w:t>
      </w:r>
      <w:r w:rsidR="006D4474" w:rsidRPr="006D4474">
        <w:rPr>
          <w:lang w:val="sr-Cyrl-RS"/>
        </w:rPr>
        <w:t xml:space="preserve">у вези са Тарифом, већина стечајних управника </w:t>
      </w:r>
      <w:r w:rsidR="00A87022">
        <w:rPr>
          <w:lang w:val="sr-Cyrl-RS"/>
        </w:rPr>
        <w:t xml:space="preserve">благовремено </w:t>
      </w:r>
      <w:r w:rsidR="006D4474" w:rsidRPr="006D4474">
        <w:rPr>
          <w:lang w:val="sr-Cyrl-RS"/>
        </w:rPr>
        <w:t>из</w:t>
      </w:r>
      <w:r w:rsidR="00A87022">
        <w:rPr>
          <w:lang w:val="sr-Cyrl-RS"/>
        </w:rPr>
        <w:t>мирује оба</w:t>
      </w:r>
      <w:r w:rsidR="009D69C3">
        <w:rPr>
          <w:lang w:val="sr-Cyrl-RS"/>
        </w:rPr>
        <w:t>везе по основу Тарифе, што смат</w:t>
      </w:r>
      <w:r w:rsidR="00A87022">
        <w:rPr>
          <w:lang w:val="sr-Cyrl-RS"/>
        </w:rPr>
        <w:t xml:space="preserve">рамо веома значајним јер </w:t>
      </w:r>
      <w:r w:rsidR="006D4474" w:rsidRPr="006D4474">
        <w:rPr>
          <w:lang w:val="sr-Cyrl-RS"/>
        </w:rPr>
        <w:t>средства по основу Тарифе Агенције представљају јавне приходе</w:t>
      </w:r>
      <w:r w:rsidR="00A87022">
        <w:rPr>
          <w:lang w:val="sr-Cyrl-RS"/>
        </w:rPr>
        <w:t>,</w:t>
      </w:r>
      <w:r w:rsidR="006D4474" w:rsidRPr="006D4474">
        <w:rPr>
          <w:lang w:val="sr-Cyrl-RS"/>
        </w:rPr>
        <w:t xml:space="preserve"> као и остале таксе и порези државе, </w:t>
      </w:r>
      <w:r w:rsidR="00A87022">
        <w:rPr>
          <w:lang w:val="sr-Cyrl-RS"/>
        </w:rPr>
        <w:t>који се</w:t>
      </w:r>
      <w:r w:rsidR="006D4474" w:rsidRPr="006D4474">
        <w:rPr>
          <w:lang w:val="sr-Cyrl-RS"/>
        </w:rPr>
        <w:t xml:space="preserve"> на крају године </w:t>
      </w:r>
      <w:r w:rsidR="00A87022">
        <w:rPr>
          <w:lang w:val="sr-Cyrl-RS"/>
        </w:rPr>
        <w:t xml:space="preserve">као </w:t>
      </w:r>
      <w:r w:rsidR="006D4474" w:rsidRPr="006D4474">
        <w:rPr>
          <w:lang w:val="sr-Cyrl-RS"/>
        </w:rPr>
        <w:t>вишак с</w:t>
      </w:r>
      <w:r w:rsidR="00A87022">
        <w:rPr>
          <w:lang w:val="sr-Cyrl-RS"/>
        </w:rPr>
        <w:t>редстава Агенције уплаћују</w:t>
      </w:r>
      <w:r w:rsidR="006D4474" w:rsidRPr="006D4474">
        <w:rPr>
          <w:lang w:val="sr-Cyrl-RS"/>
        </w:rPr>
        <w:t xml:space="preserve"> у буџет Републике Србије.</w:t>
      </w:r>
    </w:p>
    <w:p w:rsidR="001B2CA2" w:rsidRPr="002C6D10" w:rsidRDefault="001B2CA2" w:rsidP="001B2CA2">
      <w:pPr>
        <w:pStyle w:val="Heading1"/>
        <w:rPr>
          <w:lang w:val="sr-Cyrl-RS"/>
        </w:rPr>
      </w:pPr>
      <w:bookmarkStart w:id="10" w:name="_Toc466886733"/>
      <w:bookmarkStart w:id="11" w:name="_Toc467576831"/>
      <w:r>
        <w:rPr>
          <w:lang w:val="sr-Cyrl-RS"/>
        </w:rPr>
        <w:t>Закључак</w:t>
      </w:r>
      <w:bookmarkEnd w:id="10"/>
      <w:bookmarkEnd w:id="11"/>
    </w:p>
    <w:p w:rsidR="00F8329A" w:rsidRDefault="00B362CF" w:rsidP="00BD14E7">
      <w:pPr>
        <w:jc w:val="both"/>
        <w:rPr>
          <w:lang w:val="sr-Cyrl-RS"/>
        </w:rPr>
      </w:pPr>
      <w:r>
        <w:rPr>
          <w:lang w:val="sr-Cyrl-RS"/>
        </w:rPr>
        <w:t>Професија стечајног управника је веома важна професија која се још увек развија. Стечајни управници управљају значајним делом привредних субјеката Србије, и</w:t>
      </w:r>
      <w:r w:rsidR="00BD14E7">
        <w:rPr>
          <w:lang w:val="sr-Cyrl-RS"/>
        </w:rPr>
        <w:t>з чега произлази и њихова</w:t>
      </w:r>
      <w:r>
        <w:rPr>
          <w:lang w:val="sr-Cyrl-RS"/>
        </w:rPr>
        <w:t xml:space="preserve"> одговорност. Међутим, одговорност није само на њима, већ и на стечајним судијама који </w:t>
      </w:r>
      <w:r w:rsidR="00F8329A">
        <w:rPr>
          <w:lang w:val="sr-Cyrl-RS"/>
        </w:rPr>
        <w:t>спроводе</w:t>
      </w:r>
      <w:r w:rsidR="00BD14E7">
        <w:rPr>
          <w:lang w:val="sr-Cyrl-RS"/>
        </w:rPr>
        <w:t xml:space="preserve"> стечајни поступак по службеној дужности</w:t>
      </w:r>
      <w:r w:rsidR="00F8329A">
        <w:rPr>
          <w:lang w:val="sr-Cyrl-RS"/>
        </w:rPr>
        <w:t>, као и на Агенцији која се, поред осталог, бави и пословима стручног надзора над радом стечајних управника.</w:t>
      </w:r>
    </w:p>
    <w:p w:rsidR="003C2D22" w:rsidRDefault="00F8329A" w:rsidP="00BD14E7">
      <w:pPr>
        <w:jc w:val="both"/>
        <w:rPr>
          <w:lang w:val="sr-Cyrl-RS"/>
        </w:rPr>
      </w:pPr>
      <w:r>
        <w:rPr>
          <w:lang w:val="sr-Cyrl-RS"/>
        </w:rPr>
        <w:t xml:space="preserve">Агенција, у делу надзора, има могућност да види „ширу слику“ </w:t>
      </w:r>
      <w:r w:rsidRPr="00F8329A">
        <w:rPr>
          <w:lang w:val="sr-Cyrl-RS"/>
        </w:rPr>
        <w:t>стања професије стечајног управника, али и целокупног стечајног система Републике Србије</w:t>
      </w:r>
      <w:r w:rsidR="003C2D22">
        <w:rPr>
          <w:lang w:val="sr-Cyrl-RS"/>
        </w:rPr>
        <w:t>, јер спроводи надзор у</w:t>
      </w:r>
      <w:r w:rsidRPr="00F8329A">
        <w:rPr>
          <w:lang w:val="sr-Cyrl-RS"/>
        </w:rPr>
        <w:t>вид</w:t>
      </w:r>
      <w:r w:rsidR="003C2D22">
        <w:rPr>
          <w:lang w:val="sr-Cyrl-RS"/>
        </w:rPr>
        <w:t>ом</w:t>
      </w:r>
      <w:r w:rsidRPr="00F8329A">
        <w:rPr>
          <w:lang w:val="sr-Cyrl-RS"/>
        </w:rPr>
        <w:t xml:space="preserve"> у поступање стечајн</w:t>
      </w:r>
      <w:r w:rsidR="003C2D22">
        <w:rPr>
          <w:lang w:val="sr-Cyrl-RS"/>
        </w:rPr>
        <w:t>их управника у свим предметима пред свим привредним судовима Републике Србије</w:t>
      </w:r>
      <w:r w:rsidRPr="00F8329A">
        <w:rPr>
          <w:lang w:val="sr-Cyrl-RS"/>
        </w:rPr>
        <w:t>.</w:t>
      </w:r>
    </w:p>
    <w:p w:rsidR="004E24F8" w:rsidRDefault="003C2D22" w:rsidP="00BD14E7">
      <w:pPr>
        <w:jc w:val="both"/>
        <w:rPr>
          <w:lang w:val="sr-Cyrl-RS"/>
        </w:rPr>
      </w:pPr>
      <w:r>
        <w:rPr>
          <w:lang w:val="sr-Cyrl-RS"/>
        </w:rPr>
        <w:t xml:space="preserve">Имајући то у виду, обављањем стручног надзора над радом стечајних управника, Агенција има </w:t>
      </w:r>
      <w:r w:rsidR="00074B98">
        <w:rPr>
          <w:lang w:val="sr-Cyrl-RS"/>
        </w:rPr>
        <w:t xml:space="preserve">и могућност </w:t>
      </w:r>
      <w:r>
        <w:rPr>
          <w:lang w:val="sr-Cyrl-RS"/>
        </w:rPr>
        <w:t>и обавезу да коригује</w:t>
      </w:r>
      <w:r w:rsidR="00F8329A" w:rsidRPr="00F8329A">
        <w:rPr>
          <w:lang w:val="sr-Cyrl-RS"/>
        </w:rPr>
        <w:t xml:space="preserve"> </w:t>
      </w:r>
      <w:r w:rsidR="00074B98">
        <w:rPr>
          <w:lang w:val="sr-Cyrl-RS"/>
        </w:rPr>
        <w:t xml:space="preserve">поступање стечајних управника које је у супротности са закононском и подзаконском регулативом. </w:t>
      </w:r>
      <w:r w:rsidR="004D07C3">
        <w:rPr>
          <w:lang w:val="sr-Cyrl-RS"/>
        </w:rPr>
        <w:t>Као што је представљено овим радом, п</w:t>
      </w:r>
      <w:r w:rsidR="00BD14E7">
        <w:rPr>
          <w:lang w:val="sr-Cyrl-RS"/>
        </w:rPr>
        <w:t>отребе за корекцијом незаконитог</w:t>
      </w:r>
      <w:r w:rsidR="004D07C3">
        <w:rPr>
          <w:lang w:val="sr-Cyrl-RS"/>
        </w:rPr>
        <w:t xml:space="preserve"> поступања стечајних управника нису тако честе</w:t>
      </w:r>
      <w:r w:rsidR="00191CD5">
        <w:rPr>
          <w:lang w:val="sr-Cyrl-RS"/>
        </w:rPr>
        <w:t>, нити је број стечајних управника у чијем раду су утврђене неправилности значајан</w:t>
      </w:r>
      <w:r w:rsidR="004D07C3">
        <w:rPr>
          <w:lang w:val="sr-Cyrl-RS"/>
        </w:rPr>
        <w:t>. Међутим</w:t>
      </w:r>
      <w:r w:rsidR="00BD14E7">
        <w:rPr>
          <w:lang w:val="sr-Cyrl-RS"/>
        </w:rPr>
        <w:t>,</w:t>
      </w:r>
      <w:r w:rsidR="004D07C3">
        <w:rPr>
          <w:lang w:val="sr-Cyrl-RS"/>
        </w:rPr>
        <w:t xml:space="preserve"> и у тим случајевима, </w:t>
      </w:r>
      <w:r w:rsidR="0013393B">
        <w:rPr>
          <w:lang w:val="sr-Cyrl-RS"/>
        </w:rPr>
        <w:t xml:space="preserve">неправилност у раду стечајног управника се најпре утврђује у поступку испитивања рада на прописан начин и </w:t>
      </w:r>
      <w:r w:rsidR="004D07C3">
        <w:rPr>
          <w:lang w:val="sr-Cyrl-RS"/>
        </w:rPr>
        <w:t xml:space="preserve">увидом у </w:t>
      </w:r>
      <w:r w:rsidR="0013393B">
        <w:rPr>
          <w:lang w:val="sr-Cyrl-RS"/>
        </w:rPr>
        <w:t xml:space="preserve">конкретну </w:t>
      </w:r>
      <w:r w:rsidR="004D07C3">
        <w:rPr>
          <w:lang w:val="sr-Cyrl-RS"/>
        </w:rPr>
        <w:t>документацију</w:t>
      </w:r>
      <w:r w:rsidR="00191CD5">
        <w:rPr>
          <w:lang w:val="sr-Cyrl-RS"/>
        </w:rPr>
        <w:t>,</w:t>
      </w:r>
      <w:r w:rsidR="004D07C3">
        <w:rPr>
          <w:lang w:val="sr-Cyrl-RS"/>
        </w:rPr>
        <w:t xml:space="preserve"> </w:t>
      </w:r>
      <w:r w:rsidR="0013393B">
        <w:rPr>
          <w:lang w:val="sr-Cyrl-RS"/>
        </w:rPr>
        <w:t>а затим Дисци</w:t>
      </w:r>
      <w:r w:rsidR="00C809D0">
        <w:rPr>
          <w:lang w:val="sr-Cyrl-RS"/>
        </w:rPr>
        <w:t>плинско веће у свом поступку поново разматра сваки предмет</w:t>
      </w:r>
      <w:r w:rsidR="0013393B">
        <w:rPr>
          <w:lang w:val="sr-Cyrl-RS"/>
        </w:rPr>
        <w:t xml:space="preserve"> и изриче неку од</w:t>
      </w:r>
      <w:r w:rsidR="00BD14E7">
        <w:rPr>
          <w:lang w:val="sr-Cyrl-RS"/>
        </w:rPr>
        <w:t xml:space="preserve"> мера које су прописане законом или обуставља поступак.</w:t>
      </w:r>
      <w:r w:rsidR="0013393B">
        <w:rPr>
          <w:lang w:val="sr-Cyrl-RS"/>
        </w:rPr>
        <w:t xml:space="preserve"> </w:t>
      </w:r>
    </w:p>
    <w:p w:rsidR="004E24F8" w:rsidRDefault="0013393B" w:rsidP="00BD14E7">
      <w:pPr>
        <w:jc w:val="both"/>
        <w:rPr>
          <w:lang w:val="sr-Cyrl-RS"/>
        </w:rPr>
      </w:pPr>
      <w:r>
        <w:rPr>
          <w:lang w:val="sr-Cyrl-RS"/>
        </w:rPr>
        <w:t xml:space="preserve">Посебно наглашавамо да у случају изречених новчаних казни од стране Дисциплинског већа, износи који се уплаћују </w:t>
      </w:r>
      <w:r w:rsidR="00191CD5">
        <w:rPr>
          <w:lang w:val="sr-Cyrl-RS"/>
        </w:rPr>
        <w:t>по том основу</w:t>
      </w:r>
      <w:r w:rsidR="009B58ED">
        <w:rPr>
          <w:lang w:val="sr-Cyrl-RS"/>
        </w:rPr>
        <w:t>,</w:t>
      </w:r>
      <w:r w:rsidR="00191CD5">
        <w:rPr>
          <w:lang w:val="sr-Cyrl-RS"/>
        </w:rPr>
        <w:t xml:space="preserve"> уплаћују се</w:t>
      </w:r>
      <w:r w:rsidR="00C809D0">
        <w:rPr>
          <w:lang w:val="sr-Cyrl-RS"/>
        </w:rPr>
        <w:t xml:space="preserve"> директно</w:t>
      </w:r>
      <w:r w:rsidR="00191CD5">
        <w:rPr>
          <w:lang w:val="sr-Cyrl-RS"/>
        </w:rPr>
        <w:t xml:space="preserve"> на рачун</w:t>
      </w:r>
      <w:r>
        <w:rPr>
          <w:lang w:val="sr-Cyrl-RS"/>
        </w:rPr>
        <w:t xml:space="preserve"> буџета Републике Србије. </w:t>
      </w:r>
    </w:p>
    <w:p w:rsidR="001B2CA2" w:rsidRPr="002D2A98" w:rsidRDefault="004E24F8" w:rsidP="00BD14E7">
      <w:pPr>
        <w:jc w:val="both"/>
        <w:rPr>
          <w:lang w:val="sr-Cyrl-RS"/>
        </w:rPr>
      </w:pPr>
      <w:r>
        <w:rPr>
          <w:lang w:val="sr-Cyrl-RS"/>
        </w:rPr>
        <w:t>На крају, п</w:t>
      </w:r>
      <w:r w:rsidR="006127B6">
        <w:rPr>
          <w:lang w:val="sr-Cyrl-RS"/>
        </w:rPr>
        <w:t xml:space="preserve">озивамо стечајне управнике да </w:t>
      </w:r>
      <w:r w:rsidR="00927440">
        <w:rPr>
          <w:lang w:val="sr-Cyrl-RS"/>
        </w:rPr>
        <w:t xml:space="preserve">наставе са </w:t>
      </w:r>
      <w:r w:rsidR="006127B6">
        <w:rPr>
          <w:lang w:val="sr-Cyrl-RS"/>
        </w:rPr>
        <w:t>ред</w:t>
      </w:r>
      <w:r w:rsidR="00927440">
        <w:rPr>
          <w:lang w:val="sr-Cyrl-RS"/>
        </w:rPr>
        <w:t>овним плаћањем</w:t>
      </w:r>
      <w:r w:rsidR="006127B6">
        <w:rPr>
          <w:lang w:val="sr-Cyrl-RS"/>
        </w:rPr>
        <w:t xml:space="preserve"> обавезе по основу </w:t>
      </w:r>
      <w:r w:rsidR="00927440">
        <w:rPr>
          <w:lang w:val="sr-Cyrl-RS"/>
        </w:rPr>
        <w:t>т</w:t>
      </w:r>
      <w:r>
        <w:rPr>
          <w:lang w:val="sr-Cyrl-RS"/>
        </w:rPr>
        <w:t xml:space="preserve">арифе Агенције, </w:t>
      </w:r>
      <w:r w:rsidR="00927440">
        <w:rPr>
          <w:lang w:val="sr-Cyrl-RS"/>
        </w:rPr>
        <w:t>Напомињемо да је тарифа</w:t>
      </w:r>
      <w:r w:rsidR="006127B6">
        <w:rPr>
          <w:lang w:val="sr-Cyrl-RS"/>
        </w:rPr>
        <w:t xml:space="preserve"> </w:t>
      </w:r>
      <w:r w:rsidR="00927440">
        <w:rPr>
          <w:lang w:val="sr-Cyrl-RS"/>
        </w:rPr>
        <w:t xml:space="preserve">Агенције јавни приход и као таква </w:t>
      </w:r>
      <w:r w:rsidR="006127B6">
        <w:rPr>
          <w:lang w:val="sr-Cyrl-RS"/>
        </w:rPr>
        <w:t>представља приход буџета Републике Србије</w:t>
      </w:r>
      <w:r w:rsidR="004D07C3">
        <w:rPr>
          <w:lang w:val="sr-Cyrl-RS"/>
        </w:rPr>
        <w:t>.</w:t>
      </w:r>
    </w:p>
    <w:sectPr w:rsidR="001B2CA2" w:rsidRPr="002D2A98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AE" w:rsidRDefault="000946AE">
      <w:pPr>
        <w:spacing w:after="0" w:line="240" w:lineRule="auto"/>
      </w:pPr>
      <w:r>
        <w:separator/>
      </w:r>
    </w:p>
  </w:endnote>
  <w:endnote w:type="continuationSeparator" w:id="0">
    <w:p w:rsidR="000946AE" w:rsidRDefault="0009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AE" w:rsidRDefault="000946AE">
      <w:pPr>
        <w:spacing w:after="0" w:line="240" w:lineRule="auto"/>
      </w:pPr>
      <w:r>
        <w:separator/>
      </w:r>
    </w:p>
  </w:footnote>
  <w:footnote w:type="continuationSeparator" w:id="0">
    <w:p w:rsidR="000946AE" w:rsidRDefault="000946AE">
      <w:pPr>
        <w:spacing w:after="0" w:line="240" w:lineRule="auto"/>
      </w:pPr>
      <w:r>
        <w:continuationSeparator/>
      </w:r>
    </w:p>
  </w:footnote>
  <w:footnote w:id="1">
    <w:p w:rsidR="008E7ECD" w:rsidRPr="008E7ECD" w:rsidRDefault="008E7ECD">
      <w:pPr>
        <w:pStyle w:val="FootnoteText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E07"/>
    <w:multiLevelType w:val="hybridMultilevel"/>
    <w:tmpl w:val="F54859FE"/>
    <w:lvl w:ilvl="0" w:tplc="7494D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F183C"/>
    <w:multiLevelType w:val="hybridMultilevel"/>
    <w:tmpl w:val="DAAEC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F7DA4"/>
    <w:multiLevelType w:val="hybridMultilevel"/>
    <w:tmpl w:val="BB1A7B5A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2EB"/>
    <w:multiLevelType w:val="hybridMultilevel"/>
    <w:tmpl w:val="1DAEEDC8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19B4"/>
    <w:multiLevelType w:val="hybridMultilevel"/>
    <w:tmpl w:val="9C8406B2"/>
    <w:lvl w:ilvl="0" w:tplc="04090013">
      <w:start w:val="1"/>
      <w:numFmt w:val="upperRoman"/>
      <w:lvlText w:val="%1."/>
      <w:lvlJc w:val="righ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04F6220"/>
    <w:multiLevelType w:val="hybridMultilevel"/>
    <w:tmpl w:val="81AACA64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C4135"/>
    <w:multiLevelType w:val="hybridMultilevel"/>
    <w:tmpl w:val="AB12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DAA"/>
    <w:multiLevelType w:val="hybridMultilevel"/>
    <w:tmpl w:val="FD5EA8B2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6578"/>
    <w:multiLevelType w:val="hybridMultilevel"/>
    <w:tmpl w:val="E0FA5622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A322F"/>
    <w:multiLevelType w:val="hybridMultilevel"/>
    <w:tmpl w:val="DA7A199C"/>
    <w:lvl w:ilvl="0" w:tplc="7494D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E0AE7"/>
    <w:multiLevelType w:val="hybridMultilevel"/>
    <w:tmpl w:val="C158CD3E"/>
    <w:lvl w:ilvl="0" w:tplc="7494D320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5513F20"/>
    <w:multiLevelType w:val="hybridMultilevel"/>
    <w:tmpl w:val="E4C4B1BA"/>
    <w:lvl w:ilvl="0" w:tplc="7494D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747E0"/>
    <w:multiLevelType w:val="hybridMultilevel"/>
    <w:tmpl w:val="575CEDAA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749DD"/>
    <w:multiLevelType w:val="hybridMultilevel"/>
    <w:tmpl w:val="ABA430D0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4ACE"/>
    <w:multiLevelType w:val="hybridMultilevel"/>
    <w:tmpl w:val="F16ECFEC"/>
    <w:lvl w:ilvl="0" w:tplc="7494D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A2906"/>
    <w:multiLevelType w:val="hybridMultilevel"/>
    <w:tmpl w:val="F5C0505C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B56A9"/>
    <w:multiLevelType w:val="hybridMultilevel"/>
    <w:tmpl w:val="C20E3090"/>
    <w:lvl w:ilvl="0" w:tplc="7494D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50CB2"/>
    <w:multiLevelType w:val="hybridMultilevel"/>
    <w:tmpl w:val="12848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6C24"/>
    <w:multiLevelType w:val="hybridMultilevel"/>
    <w:tmpl w:val="5B6231F2"/>
    <w:lvl w:ilvl="0" w:tplc="70B40D5A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A7793"/>
    <w:multiLevelType w:val="hybridMultilevel"/>
    <w:tmpl w:val="25AA5532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62CC"/>
    <w:multiLevelType w:val="hybridMultilevel"/>
    <w:tmpl w:val="F176D550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45044"/>
    <w:multiLevelType w:val="hybridMultilevel"/>
    <w:tmpl w:val="1C4C12F8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0BE"/>
    <w:multiLevelType w:val="hybridMultilevel"/>
    <w:tmpl w:val="ED72C13E"/>
    <w:lvl w:ilvl="0" w:tplc="2108B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0487"/>
    <w:multiLevelType w:val="hybridMultilevel"/>
    <w:tmpl w:val="C512F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1D8B"/>
    <w:multiLevelType w:val="hybridMultilevel"/>
    <w:tmpl w:val="17E4C932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6375F"/>
    <w:multiLevelType w:val="hybridMultilevel"/>
    <w:tmpl w:val="D7EAA470"/>
    <w:lvl w:ilvl="0" w:tplc="7494D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101FA"/>
    <w:multiLevelType w:val="hybridMultilevel"/>
    <w:tmpl w:val="B13280C6"/>
    <w:lvl w:ilvl="0" w:tplc="636CA3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D5377E"/>
    <w:multiLevelType w:val="hybridMultilevel"/>
    <w:tmpl w:val="4776C8F2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42A1A"/>
    <w:multiLevelType w:val="hybridMultilevel"/>
    <w:tmpl w:val="D3108C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0C05"/>
    <w:multiLevelType w:val="hybridMultilevel"/>
    <w:tmpl w:val="B540DD36"/>
    <w:lvl w:ilvl="0" w:tplc="04090011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682F194B"/>
    <w:multiLevelType w:val="hybridMultilevel"/>
    <w:tmpl w:val="A9E2BB6C"/>
    <w:lvl w:ilvl="0" w:tplc="64580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F632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569F6"/>
    <w:multiLevelType w:val="hybridMultilevel"/>
    <w:tmpl w:val="7CE6EB80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A2630"/>
    <w:multiLevelType w:val="hybridMultilevel"/>
    <w:tmpl w:val="94A27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13851"/>
    <w:multiLevelType w:val="hybridMultilevel"/>
    <w:tmpl w:val="9AF8B952"/>
    <w:lvl w:ilvl="0" w:tplc="749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35"/>
  </w:num>
  <w:num w:numId="5">
    <w:abstractNumId w:val="23"/>
  </w:num>
  <w:num w:numId="6">
    <w:abstractNumId w:val="7"/>
  </w:num>
  <w:num w:numId="7">
    <w:abstractNumId w:val="8"/>
  </w:num>
  <w:num w:numId="8">
    <w:abstractNumId w:val="33"/>
  </w:num>
  <w:num w:numId="9">
    <w:abstractNumId w:val="26"/>
  </w:num>
  <w:num w:numId="10">
    <w:abstractNumId w:val="27"/>
  </w:num>
  <w:num w:numId="11">
    <w:abstractNumId w:val="10"/>
  </w:num>
  <w:num w:numId="12">
    <w:abstractNumId w:val="16"/>
  </w:num>
  <w:num w:numId="13">
    <w:abstractNumId w:val="12"/>
  </w:num>
  <w:num w:numId="14">
    <w:abstractNumId w:val="18"/>
  </w:num>
  <w:num w:numId="15">
    <w:abstractNumId w:val="2"/>
  </w:num>
  <w:num w:numId="16">
    <w:abstractNumId w:val="30"/>
  </w:num>
  <w:num w:numId="17">
    <w:abstractNumId w:val="19"/>
  </w:num>
  <w:num w:numId="18">
    <w:abstractNumId w:val="24"/>
  </w:num>
  <w:num w:numId="19">
    <w:abstractNumId w:val="4"/>
  </w:num>
  <w:num w:numId="20">
    <w:abstractNumId w:val="31"/>
  </w:num>
  <w:num w:numId="21">
    <w:abstractNumId w:val="25"/>
  </w:num>
  <w:num w:numId="22">
    <w:abstractNumId w:val="32"/>
  </w:num>
  <w:num w:numId="23">
    <w:abstractNumId w:val="22"/>
  </w:num>
  <w:num w:numId="24">
    <w:abstractNumId w:val="11"/>
  </w:num>
  <w:num w:numId="25">
    <w:abstractNumId w:val="21"/>
  </w:num>
  <w:num w:numId="26">
    <w:abstractNumId w:val="29"/>
  </w:num>
  <w:num w:numId="27">
    <w:abstractNumId w:val="15"/>
  </w:num>
  <w:num w:numId="28">
    <w:abstractNumId w:val="5"/>
  </w:num>
  <w:num w:numId="29">
    <w:abstractNumId w:val="0"/>
  </w:num>
  <w:num w:numId="30">
    <w:abstractNumId w:val="14"/>
  </w:num>
  <w:num w:numId="31">
    <w:abstractNumId w:val="17"/>
  </w:num>
  <w:num w:numId="32">
    <w:abstractNumId w:val="28"/>
  </w:num>
  <w:num w:numId="33">
    <w:abstractNumId w:val="6"/>
  </w:num>
  <w:num w:numId="34">
    <w:abstractNumId w:val="1"/>
  </w:num>
  <w:num w:numId="35">
    <w:abstractNumId w:val="3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BB"/>
    <w:rsid w:val="00003E59"/>
    <w:rsid w:val="0000693A"/>
    <w:rsid w:val="0003669D"/>
    <w:rsid w:val="000430F1"/>
    <w:rsid w:val="00043BAD"/>
    <w:rsid w:val="000459F4"/>
    <w:rsid w:val="000564CC"/>
    <w:rsid w:val="000568ED"/>
    <w:rsid w:val="00060A61"/>
    <w:rsid w:val="00065DDC"/>
    <w:rsid w:val="00070CAA"/>
    <w:rsid w:val="00073BFD"/>
    <w:rsid w:val="00074B98"/>
    <w:rsid w:val="00080FD4"/>
    <w:rsid w:val="00082041"/>
    <w:rsid w:val="00084570"/>
    <w:rsid w:val="00085212"/>
    <w:rsid w:val="00092A32"/>
    <w:rsid w:val="0009340E"/>
    <w:rsid w:val="000946AE"/>
    <w:rsid w:val="000A20D8"/>
    <w:rsid w:val="000A3D7C"/>
    <w:rsid w:val="000A48A1"/>
    <w:rsid w:val="000C2942"/>
    <w:rsid w:val="000D17CD"/>
    <w:rsid w:val="000D21B7"/>
    <w:rsid w:val="000D487F"/>
    <w:rsid w:val="000E0A01"/>
    <w:rsid w:val="000F6EE1"/>
    <w:rsid w:val="00121CF0"/>
    <w:rsid w:val="00130AA4"/>
    <w:rsid w:val="00132739"/>
    <w:rsid w:val="0013393B"/>
    <w:rsid w:val="00145DEC"/>
    <w:rsid w:val="0016169E"/>
    <w:rsid w:val="001720B8"/>
    <w:rsid w:val="00174C16"/>
    <w:rsid w:val="00174E9B"/>
    <w:rsid w:val="0018049F"/>
    <w:rsid w:val="00191CD5"/>
    <w:rsid w:val="00195FB7"/>
    <w:rsid w:val="001977BB"/>
    <w:rsid w:val="001A028F"/>
    <w:rsid w:val="001A164E"/>
    <w:rsid w:val="001B0EA8"/>
    <w:rsid w:val="001B2CA2"/>
    <w:rsid w:val="001B5267"/>
    <w:rsid w:val="001B6362"/>
    <w:rsid w:val="001C1B24"/>
    <w:rsid w:val="001C671D"/>
    <w:rsid w:val="001C7D97"/>
    <w:rsid w:val="001D4C5A"/>
    <w:rsid w:val="001D7518"/>
    <w:rsid w:val="001E2F4E"/>
    <w:rsid w:val="001E6823"/>
    <w:rsid w:val="001F48FF"/>
    <w:rsid w:val="001F6112"/>
    <w:rsid w:val="001F6F7C"/>
    <w:rsid w:val="001F738D"/>
    <w:rsid w:val="00203BCC"/>
    <w:rsid w:val="00204ECE"/>
    <w:rsid w:val="0022071E"/>
    <w:rsid w:val="00225758"/>
    <w:rsid w:val="0023392F"/>
    <w:rsid w:val="002471CA"/>
    <w:rsid w:val="00250A73"/>
    <w:rsid w:val="00251F75"/>
    <w:rsid w:val="00260281"/>
    <w:rsid w:val="00280A87"/>
    <w:rsid w:val="002B6401"/>
    <w:rsid w:val="002C4B73"/>
    <w:rsid w:val="002C6D10"/>
    <w:rsid w:val="002C7E58"/>
    <w:rsid w:val="002D025C"/>
    <w:rsid w:val="002D2A98"/>
    <w:rsid w:val="002D5ED7"/>
    <w:rsid w:val="002D7BF3"/>
    <w:rsid w:val="002E5D60"/>
    <w:rsid w:val="002F1D95"/>
    <w:rsid w:val="002F40A0"/>
    <w:rsid w:val="002F76C1"/>
    <w:rsid w:val="003108D5"/>
    <w:rsid w:val="003151F6"/>
    <w:rsid w:val="00315B9A"/>
    <w:rsid w:val="0032760E"/>
    <w:rsid w:val="00327638"/>
    <w:rsid w:val="00335B46"/>
    <w:rsid w:val="00344F65"/>
    <w:rsid w:val="003628AE"/>
    <w:rsid w:val="00366D8C"/>
    <w:rsid w:val="00383A1E"/>
    <w:rsid w:val="00385AF9"/>
    <w:rsid w:val="003868DC"/>
    <w:rsid w:val="0039246E"/>
    <w:rsid w:val="00394482"/>
    <w:rsid w:val="003B3DC4"/>
    <w:rsid w:val="003B442D"/>
    <w:rsid w:val="003C2D22"/>
    <w:rsid w:val="003D0AA4"/>
    <w:rsid w:val="003E1202"/>
    <w:rsid w:val="003E49DB"/>
    <w:rsid w:val="003F1AB8"/>
    <w:rsid w:val="003F51D5"/>
    <w:rsid w:val="003F6344"/>
    <w:rsid w:val="003F79D2"/>
    <w:rsid w:val="004037BE"/>
    <w:rsid w:val="00431040"/>
    <w:rsid w:val="00442D6A"/>
    <w:rsid w:val="00446EDE"/>
    <w:rsid w:val="00464C89"/>
    <w:rsid w:val="004715E4"/>
    <w:rsid w:val="00471EB5"/>
    <w:rsid w:val="00477F76"/>
    <w:rsid w:val="004834A8"/>
    <w:rsid w:val="004952CE"/>
    <w:rsid w:val="0049663F"/>
    <w:rsid w:val="004A348B"/>
    <w:rsid w:val="004A76ED"/>
    <w:rsid w:val="004B3C05"/>
    <w:rsid w:val="004C453F"/>
    <w:rsid w:val="004C47AD"/>
    <w:rsid w:val="004D07C3"/>
    <w:rsid w:val="004E24F8"/>
    <w:rsid w:val="004E7F91"/>
    <w:rsid w:val="004F56B6"/>
    <w:rsid w:val="0050003C"/>
    <w:rsid w:val="00504F95"/>
    <w:rsid w:val="00506637"/>
    <w:rsid w:val="00512334"/>
    <w:rsid w:val="00514423"/>
    <w:rsid w:val="005165E7"/>
    <w:rsid w:val="005251C4"/>
    <w:rsid w:val="0053139E"/>
    <w:rsid w:val="00533357"/>
    <w:rsid w:val="00533B1F"/>
    <w:rsid w:val="00534E1D"/>
    <w:rsid w:val="00561A1B"/>
    <w:rsid w:val="005707E6"/>
    <w:rsid w:val="00570D1A"/>
    <w:rsid w:val="005723B0"/>
    <w:rsid w:val="0057413E"/>
    <w:rsid w:val="0057537A"/>
    <w:rsid w:val="0058745E"/>
    <w:rsid w:val="005A38B8"/>
    <w:rsid w:val="005B796A"/>
    <w:rsid w:val="005C1B1C"/>
    <w:rsid w:val="005C74E0"/>
    <w:rsid w:val="005C75E8"/>
    <w:rsid w:val="005E14C0"/>
    <w:rsid w:val="005F099E"/>
    <w:rsid w:val="005F0CF6"/>
    <w:rsid w:val="006006E5"/>
    <w:rsid w:val="00603BAF"/>
    <w:rsid w:val="00604DCD"/>
    <w:rsid w:val="006127B6"/>
    <w:rsid w:val="00626753"/>
    <w:rsid w:val="00626AA7"/>
    <w:rsid w:val="00641ABB"/>
    <w:rsid w:val="00643C51"/>
    <w:rsid w:val="00653265"/>
    <w:rsid w:val="006563CC"/>
    <w:rsid w:val="0066090D"/>
    <w:rsid w:val="00677E53"/>
    <w:rsid w:val="00685311"/>
    <w:rsid w:val="006941FD"/>
    <w:rsid w:val="00696DE5"/>
    <w:rsid w:val="006A277E"/>
    <w:rsid w:val="006C39F5"/>
    <w:rsid w:val="006C5268"/>
    <w:rsid w:val="006D4474"/>
    <w:rsid w:val="006F16D7"/>
    <w:rsid w:val="00703FFC"/>
    <w:rsid w:val="007076B3"/>
    <w:rsid w:val="00717543"/>
    <w:rsid w:val="00736A46"/>
    <w:rsid w:val="007375F2"/>
    <w:rsid w:val="007466D8"/>
    <w:rsid w:val="00756CCD"/>
    <w:rsid w:val="0077469F"/>
    <w:rsid w:val="007913A4"/>
    <w:rsid w:val="0079318E"/>
    <w:rsid w:val="00794567"/>
    <w:rsid w:val="00797F19"/>
    <w:rsid w:val="007A0E2F"/>
    <w:rsid w:val="007B41AA"/>
    <w:rsid w:val="007B68BB"/>
    <w:rsid w:val="007B6F80"/>
    <w:rsid w:val="007D4C0E"/>
    <w:rsid w:val="007E1F25"/>
    <w:rsid w:val="007F4277"/>
    <w:rsid w:val="0080364B"/>
    <w:rsid w:val="008147B8"/>
    <w:rsid w:val="00822E1A"/>
    <w:rsid w:val="00833D8F"/>
    <w:rsid w:val="00834485"/>
    <w:rsid w:val="00856556"/>
    <w:rsid w:val="008656D3"/>
    <w:rsid w:val="00872F80"/>
    <w:rsid w:val="00881C9B"/>
    <w:rsid w:val="00893DDC"/>
    <w:rsid w:val="008A4D8F"/>
    <w:rsid w:val="008B5B75"/>
    <w:rsid w:val="008D2075"/>
    <w:rsid w:val="008E47FB"/>
    <w:rsid w:val="008E5B34"/>
    <w:rsid w:val="008E7740"/>
    <w:rsid w:val="008E7ECD"/>
    <w:rsid w:val="008F05A5"/>
    <w:rsid w:val="008F6952"/>
    <w:rsid w:val="00900D2E"/>
    <w:rsid w:val="00905795"/>
    <w:rsid w:val="00906DF6"/>
    <w:rsid w:val="0092250A"/>
    <w:rsid w:val="00922EDF"/>
    <w:rsid w:val="009263D8"/>
    <w:rsid w:val="009266D8"/>
    <w:rsid w:val="00927440"/>
    <w:rsid w:val="00953200"/>
    <w:rsid w:val="00960789"/>
    <w:rsid w:val="00960E70"/>
    <w:rsid w:val="00961C00"/>
    <w:rsid w:val="00965ADA"/>
    <w:rsid w:val="00977C8E"/>
    <w:rsid w:val="00991CCD"/>
    <w:rsid w:val="009B58ED"/>
    <w:rsid w:val="009D69C3"/>
    <w:rsid w:val="009D7B5E"/>
    <w:rsid w:val="009E2D9B"/>
    <w:rsid w:val="009F06BE"/>
    <w:rsid w:val="00A2197B"/>
    <w:rsid w:val="00A267DC"/>
    <w:rsid w:val="00A4406E"/>
    <w:rsid w:val="00A72E47"/>
    <w:rsid w:val="00A750EF"/>
    <w:rsid w:val="00A84551"/>
    <w:rsid w:val="00A86F15"/>
    <w:rsid w:val="00A87022"/>
    <w:rsid w:val="00A9651D"/>
    <w:rsid w:val="00A96570"/>
    <w:rsid w:val="00AA3ED9"/>
    <w:rsid w:val="00AA59A3"/>
    <w:rsid w:val="00AC09CC"/>
    <w:rsid w:val="00AD244B"/>
    <w:rsid w:val="00AE36C1"/>
    <w:rsid w:val="00AF61A2"/>
    <w:rsid w:val="00AF76B3"/>
    <w:rsid w:val="00B00676"/>
    <w:rsid w:val="00B05983"/>
    <w:rsid w:val="00B1347A"/>
    <w:rsid w:val="00B362CF"/>
    <w:rsid w:val="00B67074"/>
    <w:rsid w:val="00B876BD"/>
    <w:rsid w:val="00B934B7"/>
    <w:rsid w:val="00BA35D4"/>
    <w:rsid w:val="00BA448C"/>
    <w:rsid w:val="00BA6B8B"/>
    <w:rsid w:val="00BB24D3"/>
    <w:rsid w:val="00BC7353"/>
    <w:rsid w:val="00BD14E7"/>
    <w:rsid w:val="00BD4CEB"/>
    <w:rsid w:val="00BE048A"/>
    <w:rsid w:val="00BE04B1"/>
    <w:rsid w:val="00BE7EF2"/>
    <w:rsid w:val="00C20025"/>
    <w:rsid w:val="00C30C2C"/>
    <w:rsid w:val="00C30E98"/>
    <w:rsid w:val="00C36132"/>
    <w:rsid w:val="00C5731E"/>
    <w:rsid w:val="00C65126"/>
    <w:rsid w:val="00C66C50"/>
    <w:rsid w:val="00C701BF"/>
    <w:rsid w:val="00C809D0"/>
    <w:rsid w:val="00C82509"/>
    <w:rsid w:val="00C82710"/>
    <w:rsid w:val="00C914C1"/>
    <w:rsid w:val="00C9186A"/>
    <w:rsid w:val="00C91D7D"/>
    <w:rsid w:val="00C9587B"/>
    <w:rsid w:val="00C967E4"/>
    <w:rsid w:val="00CA12E9"/>
    <w:rsid w:val="00CA334F"/>
    <w:rsid w:val="00CA3397"/>
    <w:rsid w:val="00CB327A"/>
    <w:rsid w:val="00CB47BA"/>
    <w:rsid w:val="00CB56F3"/>
    <w:rsid w:val="00CD613F"/>
    <w:rsid w:val="00CD6BC6"/>
    <w:rsid w:val="00CE777C"/>
    <w:rsid w:val="00CF5105"/>
    <w:rsid w:val="00CF5657"/>
    <w:rsid w:val="00D16BB0"/>
    <w:rsid w:val="00D2151B"/>
    <w:rsid w:val="00D31307"/>
    <w:rsid w:val="00D40F2C"/>
    <w:rsid w:val="00D5222D"/>
    <w:rsid w:val="00D52B1F"/>
    <w:rsid w:val="00D619A5"/>
    <w:rsid w:val="00D663FB"/>
    <w:rsid w:val="00D75157"/>
    <w:rsid w:val="00D84214"/>
    <w:rsid w:val="00D90355"/>
    <w:rsid w:val="00DA3CA8"/>
    <w:rsid w:val="00DB0DB4"/>
    <w:rsid w:val="00DB1156"/>
    <w:rsid w:val="00DB3FA3"/>
    <w:rsid w:val="00DE79CC"/>
    <w:rsid w:val="00DF0A80"/>
    <w:rsid w:val="00DF142C"/>
    <w:rsid w:val="00DF706F"/>
    <w:rsid w:val="00E03B97"/>
    <w:rsid w:val="00E06812"/>
    <w:rsid w:val="00E2197E"/>
    <w:rsid w:val="00E50870"/>
    <w:rsid w:val="00E525D6"/>
    <w:rsid w:val="00E54E54"/>
    <w:rsid w:val="00E62538"/>
    <w:rsid w:val="00E90FFF"/>
    <w:rsid w:val="00E92181"/>
    <w:rsid w:val="00E95A38"/>
    <w:rsid w:val="00E960EA"/>
    <w:rsid w:val="00EA505E"/>
    <w:rsid w:val="00EB40B5"/>
    <w:rsid w:val="00EB68D1"/>
    <w:rsid w:val="00EC01A9"/>
    <w:rsid w:val="00EC30EB"/>
    <w:rsid w:val="00ED776E"/>
    <w:rsid w:val="00EE2111"/>
    <w:rsid w:val="00EE46C6"/>
    <w:rsid w:val="00F1037A"/>
    <w:rsid w:val="00F13365"/>
    <w:rsid w:val="00F60E47"/>
    <w:rsid w:val="00F65A62"/>
    <w:rsid w:val="00F65B18"/>
    <w:rsid w:val="00F8329A"/>
    <w:rsid w:val="00F85503"/>
    <w:rsid w:val="00F92DB3"/>
    <w:rsid w:val="00F94B4C"/>
    <w:rsid w:val="00FA21EF"/>
    <w:rsid w:val="00FB7D3B"/>
    <w:rsid w:val="00FC3E02"/>
    <w:rsid w:val="00FD0D31"/>
    <w:rsid w:val="00FF60AE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979E-56F4-4C3D-8DC4-687591B8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Pr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Spacing"/>
    <w:uiPriority w:val="99"/>
    <w:qFormat/>
    <w:rPr>
      <w:color w:val="FFFFFF" w:themeColor="background1"/>
      <w:sz w:val="22"/>
      <w:szCs w:val="22"/>
    </w:rPr>
  </w:style>
  <w:style w:type="paragraph" w:customStyle="1" w:styleId="TableSpace">
    <w:name w:val="Table Space"/>
    <w:basedOn w:val="NoSpacing"/>
    <w:uiPriority w:val="99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5723B0"/>
    <w:pPr>
      <w:numPr>
        <w:numId w:val="1"/>
      </w:numPr>
      <w:tabs>
        <w:tab w:val="right" w:leader="dot" w:pos="9350"/>
      </w:tabs>
      <w:spacing w:after="140" w:line="240" w:lineRule="auto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36A46"/>
    <w:pPr>
      <w:tabs>
        <w:tab w:val="right" w:leader="dot" w:pos="9350"/>
      </w:tabs>
      <w:spacing w:after="100" w:line="240" w:lineRule="auto"/>
      <w:ind w:left="720" w:right="36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"/>
    <w:uiPriority w:val="99"/>
    <w:unhideWhenUsed/>
    <w:pPr>
      <w:spacing w:before="720" w:line="240" w:lineRule="auto"/>
      <w:ind w:left="720"/>
    </w:pPr>
  </w:style>
  <w:style w:type="paragraph" w:customStyle="1" w:styleId="FooterAlt">
    <w:name w:val="Footer Alt."/>
    <w:basedOn w:val="Normal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34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unhideWhenUsed/>
    <w:qFormat/>
    <w:rsid w:val="00C827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41F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41FD"/>
  </w:style>
  <w:style w:type="character" w:styleId="FootnoteReference">
    <w:name w:val="footnote reference"/>
    <w:basedOn w:val="DefaultParagraphFont"/>
    <w:uiPriority w:val="99"/>
    <w:semiHidden/>
    <w:unhideWhenUsed/>
    <w:rsid w:val="006941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F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F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3" Type="http://schemas.openxmlformats.org/officeDocument/2006/relationships/customXml" Target="../customXml/item3.xml"/><Relationship Id="rId21" Type="http://schemas.openxmlformats.org/officeDocument/2006/relationships/hyperlink" Target="mailto:podrskaERS@alsu.gov.rs" TargetMode="Externa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19" Type="http://schemas.openxmlformats.org/officeDocument/2006/relationships/chart" Target="charts/chart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lenam\AppData\Roaming\Microsoft\Templates\Business%20plan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100"/>
              <a:t>Промена броја стечајних управника и броја предмета у извештајном периоду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Број стечајних управника са активним предметима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5274476513865319E-3"/>
                  <c:y val="-4.301075268817204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BAA-4FE1-ABB0-02EDA054F2D1}"/>
                </c:ext>
                <c:ext xmlns:c15="http://schemas.microsoft.com/office/drawing/2012/chart" uri="{CE6537A1-D6FC-4f65-9D91-7224C49458BB}">
                  <c15:layout>
                    <c:manualLayout>
                      <c:w val="6.261460101867572E-2"/>
                      <c:h val="0.13387113707560749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"/>
                  <c:y val="-6.0215053763440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BAA-4FE1-ABB0-02EDA054F2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Sheet1!$C$1:$D$1</c:f>
              <c:strCache>
                <c:ptCount val="2"/>
                <c:pt idx="0">
                  <c:v>1. новембар 2015</c:v>
                </c:pt>
                <c:pt idx="1">
                  <c:v>31.децембар 2016</c:v>
                </c:pt>
              </c:strCache>
            </c:strRef>
          </c:cat>
          <c:val>
            <c:numRef>
              <c:f>Sheet1!$C$2:$D$2</c:f>
              <c:numCache>
                <c:formatCode>General</c:formatCode>
                <c:ptCount val="2"/>
                <c:pt idx="0">
                  <c:v>292</c:v>
                </c:pt>
                <c:pt idx="1">
                  <c:v>312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CD-4CF2-A854-E29E29C89A03}"/>
            </c:ext>
          </c:extLst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Број активних предмета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5.5913978494623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BAA-4FE1-ABB0-02EDA054F2D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274476513864478E-3"/>
                  <c:y val="-6.451612903225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BAA-4FE1-ABB0-02EDA054F2D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Sheet1!$C$1:$D$1</c:f>
              <c:strCache>
                <c:ptCount val="2"/>
                <c:pt idx="0">
                  <c:v>1. новембар 2015</c:v>
                </c:pt>
                <c:pt idx="1">
                  <c:v>31.децембар 2016</c:v>
                </c:pt>
              </c:strCache>
            </c:strRef>
          </c:cat>
          <c:val>
            <c:numRef>
              <c:f>Sheet1!$C$3:$D$3</c:f>
              <c:numCache>
                <c:formatCode>General</c:formatCode>
                <c:ptCount val="2"/>
                <c:pt idx="0">
                  <c:v>1382</c:v>
                </c:pt>
                <c:pt idx="1">
                  <c:v>1350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CD-4CF2-A854-E29E29C89A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332483392"/>
        <c:axId val="-1332475776"/>
        <c:axId val="0"/>
      </c:bar3DChart>
      <c:catAx>
        <c:axId val="-13324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75776"/>
        <c:crosses val="autoZero"/>
        <c:auto val="1"/>
        <c:lblAlgn val="ctr"/>
        <c:lblOffset val="100"/>
        <c:noMultiLvlLbl val="0"/>
      </c:catAx>
      <c:valAx>
        <c:axId val="-133247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8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Sheet2!$A$1</c:f>
              <c:strCache>
                <c:ptCount val="1"/>
                <c:pt idx="0">
                  <c:v>Број стечајних управника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Sheet2!$A$2:$A$16</c:f>
              <c:numCache>
                <c:formatCode>General</c:formatCode>
                <c:ptCount val="15"/>
                <c:pt idx="0">
                  <c:v>43</c:v>
                </c:pt>
                <c:pt idx="1">
                  <c:v>60</c:v>
                </c:pt>
                <c:pt idx="2">
                  <c:v>46</c:v>
                </c:pt>
                <c:pt idx="3">
                  <c:v>44</c:v>
                </c:pt>
                <c:pt idx="4">
                  <c:v>25</c:v>
                </c:pt>
                <c:pt idx="5">
                  <c:v>33</c:v>
                </c:pt>
                <c:pt idx="6">
                  <c:v>14</c:v>
                </c:pt>
                <c:pt idx="7">
                  <c:v>22</c:v>
                </c:pt>
                <c:pt idx="8">
                  <c:v>9</c:v>
                </c:pt>
                <c:pt idx="9">
                  <c:v>5</c:v>
                </c:pt>
                <c:pt idx="10">
                  <c:v>5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9E-4B44-84C4-502C6049AF39}"/>
            </c:ext>
          </c:extLst>
        </c:ser>
        <c:ser>
          <c:idx val="1"/>
          <c:order val="1"/>
          <c:tx>
            <c:strRef>
              <c:f>Sheet2!$B$1</c:f>
              <c:strCache>
                <c:ptCount val="1"/>
                <c:pt idx="0">
                  <c:v>који су именовани у наведеном броју стечајних поступака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Sheet2!$B$2:$B$16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9E-4B44-84C4-502C6049AF3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332492096"/>
        <c:axId val="-1332490464"/>
      </c:barChart>
      <c:catAx>
        <c:axId val="-1332492096"/>
        <c:scaling>
          <c:orientation val="minMax"/>
        </c:scaling>
        <c:delete val="1"/>
        <c:axPos val="b"/>
        <c:majorTickMark val="none"/>
        <c:minorTickMark val="none"/>
        <c:tickLblPos val="nextTo"/>
        <c:crossAx val="-1332490464"/>
        <c:crosses val="autoZero"/>
        <c:auto val="1"/>
        <c:lblAlgn val="ctr"/>
        <c:lblOffset val="100"/>
        <c:noMultiLvlLbl val="0"/>
      </c:catAx>
      <c:valAx>
        <c:axId val="-1332490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33249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Број стечајних дужника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Sheet3!$A$3:$A$7</c:f>
              <c:strCache>
                <c:ptCount val="5"/>
                <c:pt idx="0">
                  <c:v>0,00 динара</c:v>
                </c:pt>
                <c:pt idx="1">
                  <c:v>од 0,00 до 120 милиона динара</c:v>
                </c:pt>
                <c:pt idx="2">
                  <c:v>преко 120 милиона динара</c:v>
                </c:pt>
                <c:pt idx="3">
                  <c:v>немамо податке </c:v>
                </c:pt>
                <c:pt idx="4">
                  <c:v>Укупно</c:v>
                </c:pt>
              </c:strCache>
            </c:strRef>
          </c:cat>
          <c:val>
            <c:numRef>
              <c:f>Sheet3!$B$3:$B$7</c:f>
              <c:numCache>
                <c:formatCode>General</c:formatCode>
                <c:ptCount val="5"/>
                <c:pt idx="0">
                  <c:v>126</c:v>
                </c:pt>
                <c:pt idx="1">
                  <c:v>786</c:v>
                </c:pt>
                <c:pt idx="2">
                  <c:v>361</c:v>
                </c:pt>
                <c:pt idx="3">
                  <c:v>77</c:v>
                </c:pt>
                <c:pt idx="4">
                  <c:v>1350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E7-4EC2-8C29-88061BDA52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332488288"/>
        <c:axId val="-1332471424"/>
      </c:barChart>
      <c:lineChart>
        <c:grouping val="standard"/>
        <c:varyColors val="0"/>
        <c:ser>
          <c:idx val="1"/>
          <c:order val="1"/>
          <c:tx>
            <c:strRef>
              <c:f>Sheet3!$C$2</c:f>
              <c:strCache>
                <c:ptCount val="1"/>
                <c:pt idx="0">
                  <c:v>Учешће у укупном броју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2.4999999999999974E-2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AE7-4EC2-8C29-88061BDA52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333333333333333E-2"/>
                  <c:y val="9.25925925925921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AE7-4EC2-8C29-88061BDA523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2222222222223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AE7-4EC2-8C29-88061BDA52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Sheet3!$A$3:$A$7</c:f>
              <c:strCache>
                <c:ptCount val="5"/>
                <c:pt idx="0">
                  <c:v>0,00 динара</c:v>
                </c:pt>
                <c:pt idx="1">
                  <c:v>од 0,00 до 120 милиона динара</c:v>
                </c:pt>
                <c:pt idx="2">
                  <c:v>преко 120 милиона динара</c:v>
                </c:pt>
                <c:pt idx="3">
                  <c:v>немамо податке </c:v>
                </c:pt>
                <c:pt idx="4">
                  <c:v>Укупно</c:v>
                </c:pt>
              </c:strCache>
            </c:strRef>
          </c:cat>
          <c:val>
            <c:numRef>
              <c:f>Sheet3!$C$3:$C$7</c:f>
              <c:numCache>
                <c:formatCode>0%</c:formatCode>
                <c:ptCount val="5"/>
                <c:pt idx="0">
                  <c:v>0.09</c:v>
                </c:pt>
                <c:pt idx="1">
                  <c:v>0.57999999999999996</c:v>
                </c:pt>
                <c:pt idx="2">
                  <c:v>0.27</c:v>
                </c:pt>
                <c:pt idx="3">
                  <c:v>0.06</c:v>
                </c:pt>
                <c:pt idx="4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AE7-4EC2-8C29-88061BDA52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332467072"/>
        <c:axId val="-1332489920"/>
      </c:lineChart>
      <c:catAx>
        <c:axId val="-133248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71424"/>
        <c:crosses val="autoZero"/>
        <c:auto val="1"/>
        <c:lblAlgn val="ctr"/>
        <c:lblOffset val="100"/>
        <c:noMultiLvlLbl val="0"/>
      </c:catAx>
      <c:valAx>
        <c:axId val="-133247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88288"/>
        <c:crosses val="autoZero"/>
        <c:crossBetween val="between"/>
      </c:valAx>
      <c:valAx>
        <c:axId val="-1332489920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67072"/>
        <c:crosses val="max"/>
        <c:crossBetween val="between"/>
      </c:valAx>
      <c:catAx>
        <c:axId val="-13324670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332489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РНН!$C$1</c:f>
              <c:strCache>
                <c:ptCount val="1"/>
                <c:pt idx="0">
                  <c:v>Број извршених РНН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8.3333333333333332E-3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44F-4F0D-AFE3-8BCAB22ADC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РНН!$B$2:$B$7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РНН!$C$2:$C$7</c:f>
              <c:numCache>
                <c:formatCode>General</c:formatCode>
                <c:ptCount val="6"/>
                <c:pt idx="0">
                  <c:v>97</c:v>
                </c:pt>
                <c:pt idx="1">
                  <c:v>72</c:v>
                </c:pt>
                <c:pt idx="2">
                  <c:v>54</c:v>
                </c:pt>
                <c:pt idx="3">
                  <c:v>91</c:v>
                </c:pt>
                <c:pt idx="4">
                  <c:v>90</c:v>
                </c:pt>
                <c:pt idx="5">
                  <c:v>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44F-4F0D-AFE3-8BCAB22ADCFD}"/>
            </c:ext>
          </c:extLst>
        </c:ser>
        <c:ser>
          <c:idx val="1"/>
          <c:order val="1"/>
          <c:tx>
            <c:strRef>
              <c:f>РНН!$D$1</c:f>
              <c:strCache>
                <c:ptCount val="1"/>
                <c:pt idx="0">
                  <c:v>Без утврђених неправилности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7777777777777779E-3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44F-4F0D-AFE3-8BCAB22ADCF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3.703703703703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44F-4F0D-AFE3-8BCAB22ADCF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РНН!$B$2:$B$7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РНН!$D$2:$D$7</c:f>
              <c:numCache>
                <c:formatCode>General</c:formatCode>
                <c:ptCount val="6"/>
                <c:pt idx="0">
                  <c:v>61</c:v>
                </c:pt>
                <c:pt idx="1">
                  <c:v>60</c:v>
                </c:pt>
                <c:pt idx="2">
                  <c:v>49</c:v>
                </c:pt>
                <c:pt idx="3">
                  <c:v>72</c:v>
                </c:pt>
                <c:pt idx="4">
                  <c:v>75</c:v>
                </c:pt>
                <c:pt idx="5">
                  <c:v>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44F-4F0D-AFE3-8BCAB22ADCFD}"/>
            </c:ext>
          </c:extLst>
        </c:ser>
        <c:ser>
          <c:idx val="2"/>
          <c:order val="2"/>
          <c:tx>
            <c:strRef>
              <c:f>РНН!$E$1</c:f>
              <c:strCache>
                <c:ptCount val="1"/>
                <c:pt idx="0">
                  <c:v>Са утврђеним неправилностима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РНН!$B$2:$B$7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РНН!$E$2:$E$7</c:f>
              <c:numCache>
                <c:formatCode>General</c:formatCode>
                <c:ptCount val="6"/>
                <c:pt idx="0">
                  <c:v>36</c:v>
                </c:pt>
                <c:pt idx="1">
                  <c:v>12</c:v>
                </c:pt>
                <c:pt idx="2">
                  <c:v>5</c:v>
                </c:pt>
                <c:pt idx="3">
                  <c:v>19</c:v>
                </c:pt>
                <c:pt idx="4">
                  <c:v>15</c:v>
                </c:pt>
                <c:pt idx="5">
                  <c:v>18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844F-4F0D-AFE3-8BCAB22AD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332493184"/>
        <c:axId val="-1332468704"/>
      </c:lineChart>
      <c:catAx>
        <c:axId val="-133249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68704"/>
        <c:crosses val="autoZero"/>
        <c:auto val="1"/>
        <c:lblAlgn val="ctr"/>
        <c:lblOffset val="100"/>
        <c:noMultiLvlLbl val="0"/>
      </c:catAx>
      <c:valAx>
        <c:axId val="-133246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9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Sheet9!$B$1</c:f>
              <c:strCache>
                <c:ptCount val="1"/>
                <c:pt idx="0">
                  <c:v>Број притужби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1833333333333361E-2"/>
                  <c:y val="-5.555555555555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944444444444445E-2"/>
                  <c:y val="-3.24074074074074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611111111111162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5388888888888888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88888888888888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611111111111113E-2"/>
                  <c:y val="-6.94444444444444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5F0-4FCE-A007-BABDDC5000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Sheet9!$A$2:$A$7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Sheet9!$B$2:$B$7</c:f>
              <c:numCache>
                <c:formatCode>General</c:formatCode>
                <c:ptCount val="6"/>
                <c:pt idx="0">
                  <c:v>89</c:v>
                </c:pt>
                <c:pt idx="1">
                  <c:v>171</c:v>
                </c:pt>
                <c:pt idx="2">
                  <c:v>138</c:v>
                </c:pt>
                <c:pt idx="3">
                  <c:v>131</c:v>
                </c:pt>
                <c:pt idx="4">
                  <c:v>138</c:v>
                </c:pt>
                <c:pt idx="5">
                  <c:v>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5F0-4FCE-A007-BABDDC50003E}"/>
            </c:ext>
          </c:extLst>
        </c:ser>
        <c:ser>
          <c:idx val="1"/>
          <c:order val="1"/>
          <c:tx>
            <c:strRef>
              <c:f>Sheet9!$C$1</c:f>
              <c:strCache>
                <c:ptCount val="1"/>
                <c:pt idx="0">
                  <c:v>Са утврђеним неправилностима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611111111111108E-2"/>
                  <c:y val="-6.4814814814814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944444444444445E-2"/>
                  <c:y val="-6.48148148148148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500000000000051E-2"/>
                  <c:y val="-6.9444444444444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055555555555656E-2"/>
                  <c:y val="-7.870370370370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944444444444445E-2"/>
                  <c:y val="-8.33333333333333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5F0-4FCE-A007-BABDDC50003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500000000000002E-2"/>
                  <c:y val="-8.3333333333333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5F0-4FCE-A007-BABDDC5000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Sheet9!$A$2:$A$7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Sheet9!$C$2:$C$7</c:f>
              <c:numCache>
                <c:formatCode>General</c:formatCode>
                <c:ptCount val="6"/>
                <c:pt idx="0">
                  <c:v>24</c:v>
                </c:pt>
                <c:pt idx="1">
                  <c:v>24</c:v>
                </c:pt>
                <c:pt idx="2">
                  <c:v>17</c:v>
                </c:pt>
                <c:pt idx="3">
                  <c:v>21</c:v>
                </c:pt>
                <c:pt idx="4">
                  <c:v>22</c:v>
                </c:pt>
                <c:pt idx="5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D5F0-4FCE-A007-BABDDC50003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332496448"/>
        <c:axId val="-1332479584"/>
      </c:lineChart>
      <c:catAx>
        <c:axId val="-133249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79584"/>
        <c:crosses val="autoZero"/>
        <c:auto val="1"/>
        <c:lblAlgn val="ctr"/>
        <c:lblOffset val="100"/>
        <c:noMultiLvlLbl val="0"/>
      </c:catAx>
      <c:valAx>
        <c:axId val="-1332479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33249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880953-B8B9-4F84-89AE-AF21911ECEA9}" type="doc">
      <dgm:prSet loTypeId="urn:microsoft.com/office/officeart/2005/8/layout/venn1" loCatId="relationship" qsTypeId="urn:microsoft.com/office/officeart/2005/8/quickstyle/simple1" qsCatId="simple" csTypeId="urn:microsoft.com/office/officeart/2005/8/colors/colorful2" csCatId="colorful" phldr="1"/>
      <dgm:spPr/>
    </dgm:pt>
    <dgm:pt modelId="{E8833BDC-3DA8-4383-9720-390C3E6135FB}">
      <dgm:prSet phldrT="[Text]" custT="1"/>
      <dgm:spPr/>
      <dgm:t>
        <a:bodyPr/>
        <a:lstStyle/>
        <a:p>
          <a:r>
            <a:rPr lang="sr-Cyrl-RS" sz="1000" b="1">
              <a:latin typeface="Garamond" panose="02020404030301010803" pitchFamily="18" charset="0"/>
            </a:rPr>
            <a:t>Надзор увидом и анализом </a:t>
          </a:r>
          <a:endParaRPr lang="en-US" sz="1000" b="1">
            <a:latin typeface="Garamond" panose="02020404030301010803" pitchFamily="18" charset="0"/>
          </a:endParaRPr>
        </a:p>
      </dgm:t>
    </dgm:pt>
    <dgm:pt modelId="{71252C8A-5C6D-495F-81B0-7BCF4377DDCE}" type="parTrans" cxnId="{FB503C61-B278-45E1-AC2E-FEFCCDDD42B1}">
      <dgm:prSet/>
      <dgm:spPr/>
      <dgm:t>
        <a:bodyPr/>
        <a:lstStyle/>
        <a:p>
          <a:endParaRPr lang="en-US"/>
        </a:p>
      </dgm:t>
    </dgm:pt>
    <dgm:pt modelId="{4A37126F-12FB-4425-9FD3-F1DB58C1E0DF}" type="sibTrans" cxnId="{FB503C61-B278-45E1-AC2E-FEFCCDDD42B1}">
      <dgm:prSet/>
      <dgm:spPr/>
      <dgm:t>
        <a:bodyPr/>
        <a:lstStyle/>
        <a:p>
          <a:endParaRPr lang="en-US"/>
        </a:p>
      </dgm:t>
    </dgm:pt>
    <dgm:pt modelId="{367226A2-A75D-447A-96EA-36E8452D37C2}">
      <dgm:prSet phldrT="[Text]" custT="1"/>
      <dgm:spPr/>
      <dgm:t>
        <a:bodyPr/>
        <a:lstStyle/>
        <a:p>
          <a:r>
            <a:rPr lang="sr-Cyrl-RS" sz="1000" b="1">
              <a:latin typeface="Garamond" panose="02020404030301010803" pitchFamily="18" charset="0"/>
            </a:rPr>
            <a:t>Притужбе на рад СУ</a:t>
          </a:r>
          <a:endParaRPr lang="en-US" sz="1000" b="1">
            <a:latin typeface="Garamond" panose="02020404030301010803" pitchFamily="18" charset="0"/>
          </a:endParaRPr>
        </a:p>
      </dgm:t>
    </dgm:pt>
    <dgm:pt modelId="{F83BB738-FD32-4407-B132-8CA4DA56FEA5}" type="parTrans" cxnId="{C8BF6B6E-E172-48A2-8F97-982407F4A442}">
      <dgm:prSet/>
      <dgm:spPr/>
      <dgm:t>
        <a:bodyPr/>
        <a:lstStyle/>
        <a:p>
          <a:endParaRPr lang="en-US"/>
        </a:p>
      </dgm:t>
    </dgm:pt>
    <dgm:pt modelId="{49A5FD0E-206A-43A1-92BF-6ED62E04A6FE}" type="sibTrans" cxnId="{C8BF6B6E-E172-48A2-8F97-982407F4A442}">
      <dgm:prSet/>
      <dgm:spPr/>
      <dgm:t>
        <a:bodyPr/>
        <a:lstStyle/>
        <a:p>
          <a:endParaRPr lang="en-US"/>
        </a:p>
      </dgm:t>
    </dgm:pt>
    <dgm:pt modelId="{FD012FB4-788F-4EA6-B8E9-32598CC39F9A}">
      <dgm:prSet phldrT="[Text]" custT="1"/>
      <dgm:spPr/>
      <dgm:t>
        <a:bodyPr/>
        <a:lstStyle/>
        <a:p>
          <a:r>
            <a:rPr lang="sr-Cyrl-RS" sz="1000" b="1">
              <a:latin typeface="Garamond" panose="02020404030301010803" pitchFamily="18" charset="0"/>
            </a:rPr>
            <a:t>Редовни непосредни надзор</a:t>
          </a:r>
          <a:endParaRPr lang="en-US" sz="1000" b="1">
            <a:latin typeface="Garamond" panose="02020404030301010803" pitchFamily="18" charset="0"/>
          </a:endParaRPr>
        </a:p>
      </dgm:t>
    </dgm:pt>
    <dgm:pt modelId="{DC43BD38-74F7-4526-9F10-7A2445CB846C}" type="parTrans" cxnId="{334F94EB-3952-41CB-992C-4D82CE387170}">
      <dgm:prSet/>
      <dgm:spPr/>
      <dgm:t>
        <a:bodyPr/>
        <a:lstStyle/>
        <a:p>
          <a:endParaRPr lang="en-US"/>
        </a:p>
      </dgm:t>
    </dgm:pt>
    <dgm:pt modelId="{6E74C396-FF8D-442E-89C0-5340906CF3AA}" type="sibTrans" cxnId="{334F94EB-3952-41CB-992C-4D82CE387170}">
      <dgm:prSet/>
      <dgm:spPr/>
      <dgm:t>
        <a:bodyPr/>
        <a:lstStyle/>
        <a:p>
          <a:endParaRPr lang="en-US"/>
        </a:p>
      </dgm:t>
    </dgm:pt>
    <dgm:pt modelId="{442DDA30-4977-4B58-9B23-A109F5FE850A}">
      <dgm:prSet custT="1"/>
      <dgm:spPr/>
      <dgm:t>
        <a:bodyPr/>
        <a:lstStyle/>
        <a:p>
          <a:r>
            <a:rPr lang="sr-Cyrl-RS" sz="1000" b="1">
              <a:latin typeface="Garamond" panose="02020404030301010803" pitchFamily="18" charset="0"/>
            </a:rPr>
            <a:t>Ванредни непосредни надзор</a:t>
          </a:r>
          <a:endParaRPr lang="en-US" sz="1000" b="1">
            <a:latin typeface="Garamond" panose="02020404030301010803" pitchFamily="18" charset="0"/>
          </a:endParaRPr>
        </a:p>
      </dgm:t>
    </dgm:pt>
    <dgm:pt modelId="{33A6B356-0FBB-4222-A9F1-8C8DA5BA43AF}" type="parTrans" cxnId="{BF451DD1-88C3-4D9B-97F9-AA6251C5DB29}">
      <dgm:prSet/>
      <dgm:spPr/>
      <dgm:t>
        <a:bodyPr/>
        <a:lstStyle/>
        <a:p>
          <a:endParaRPr lang="en-US"/>
        </a:p>
      </dgm:t>
    </dgm:pt>
    <dgm:pt modelId="{A6027692-C1EE-49D1-AB19-4A90FCEE48A3}" type="sibTrans" cxnId="{BF451DD1-88C3-4D9B-97F9-AA6251C5DB29}">
      <dgm:prSet/>
      <dgm:spPr/>
      <dgm:t>
        <a:bodyPr/>
        <a:lstStyle/>
        <a:p>
          <a:endParaRPr lang="en-US"/>
        </a:p>
      </dgm:t>
    </dgm:pt>
    <dgm:pt modelId="{D02A3486-AE68-4E91-8EB4-85D2010570E0}" type="pres">
      <dgm:prSet presAssocID="{92880953-B8B9-4F84-89AE-AF21911ECEA9}" presName="compositeShape" presStyleCnt="0">
        <dgm:presLayoutVars>
          <dgm:chMax val="7"/>
          <dgm:dir/>
          <dgm:resizeHandles val="exact"/>
        </dgm:presLayoutVars>
      </dgm:prSet>
      <dgm:spPr/>
    </dgm:pt>
    <dgm:pt modelId="{212B74B9-81FF-483B-AD85-B95F07BCAD82}" type="pres">
      <dgm:prSet presAssocID="{E8833BDC-3DA8-4383-9720-390C3E6135FB}" presName="circ1" presStyleLbl="vennNode1" presStyleIdx="0" presStyleCnt="4"/>
      <dgm:spPr/>
      <dgm:t>
        <a:bodyPr/>
        <a:lstStyle/>
        <a:p>
          <a:endParaRPr lang="en-US"/>
        </a:p>
      </dgm:t>
    </dgm:pt>
    <dgm:pt modelId="{8D91FFFB-F260-4F6A-B1D5-93510DA55090}" type="pres">
      <dgm:prSet presAssocID="{E8833BDC-3DA8-4383-9720-390C3E6135F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E94B6A-B8D5-4E39-84CA-EEA7973B8953}" type="pres">
      <dgm:prSet presAssocID="{442DDA30-4977-4B58-9B23-A109F5FE850A}" presName="circ2" presStyleLbl="vennNode1" presStyleIdx="1" presStyleCnt="4"/>
      <dgm:spPr/>
      <dgm:t>
        <a:bodyPr/>
        <a:lstStyle/>
        <a:p>
          <a:endParaRPr lang="en-US"/>
        </a:p>
      </dgm:t>
    </dgm:pt>
    <dgm:pt modelId="{CDF6B16B-D014-4213-965E-65E7FFB2D155}" type="pres">
      <dgm:prSet presAssocID="{442DDA30-4977-4B58-9B23-A109F5FE850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ECC3B2-A5B1-48ED-8100-BC93679D135F}" type="pres">
      <dgm:prSet presAssocID="{367226A2-A75D-447A-96EA-36E8452D37C2}" presName="circ3" presStyleLbl="vennNode1" presStyleIdx="2" presStyleCnt="4"/>
      <dgm:spPr/>
      <dgm:t>
        <a:bodyPr/>
        <a:lstStyle/>
        <a:p>
          <a:endParaRPr lang="en-US"/>
        </a:p>
      </dgm:t>
    </dgm:pt>
    <dgm:pt modelId="{EA0013DE-BDBD-44FC-8CC1-908F7A447692}" type="pres">
      <dgm:prSet presAssocID="{367226A2-A75D-447A-96EA-36E8452D37C2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07F11A-13D2-4517-97C5-67728C430083}" type="pres">
      <dgm:prSet presAssocID="{FD012FB4-788F-4EA6-B8E9-32598CC39F9A}" presName="circ4" presStyleLbl="vennNode1" presStyleIdx="3" presStyleCnt="4" custLinFactNeighborX="-668" custLinFactNeighborY="-668"/>
      <dgm:spPr/>
      <dgm:t>
        <a:bodyPr/>
        <a:lstStyle/>
        <a:p>
          <a:endParaRPr lang="en-US"/>
        </a:p>
      </dgm:t>
    </dgm:pt>
    <dgm:pt modelId="{A9B21ADA-3E21-4C4E-9940-528678849268}" type="pres">
      <dgm:prSet presAssocID="{FD012FB4-788F-4EA6-B8E9-32598CC39F9A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94BBA9-C639-4438-9DF5-341932606C5B}" type="presOf" srcId="{442DDA30-4977-4B58-9B23-A109F5FE850A}" destId="{CDF6B16B-D014-4213-965E-65E7FFB2D155}" srcOrd="1" destOrd="0" presId="urn:microsoft.com/office/officeart/2005/8/layout/venn1"/>
    <dgm:cxn modelId="{4490D73A-D15A-46F6-9637-C5A089134879}" type="presOf" srcId="{367226A2-A75D-447A-96EA-36E8452D37C2}" destId="{5CECC3B2-A5B1-48ED-8100-BC93679D135F}" srcOrd="0" destOrd="0" presId="urn:microsoft.com/office/officeart/2005/8/layout/venn1"/>
    <dgm:cxn modelId="{C8BF6B6E-E172-48A2-8F97-982407F4A442}" srcId="{92880953-B8B9-4F84-89AE-AF21911ECEA9}" destId="{367226A2-A75D-447A-96EA-36E8452D37C2}" srcOrd="2" destOrd="0" parTransId="{F83BB738-FD32-4407-B132-8CA4DA56FEA5}" sibTransId="{49A5FD0E-206A-43A1-92BF-6ED62E04A6FE}"/>
    <dgm:cxn modelId="{FB503C61-B278-45E1-AC2E-FEFCCDDD42B1}" srcId="{92880953-B8B9-4F84-89AE-AF21911ECEA9}" destId="{E8833BDC-3DA8-4383-9720-390C3E6135FB}" srcOrd="0" destOrd="0" parTransId="{71252C8A-5C6D-495F-81B0-7BCF4377DDCE}" sibTransId="{4A37126F-12FB-4425-9FD3-F1DB58C1E0DF}"/>
    <dgm:cxn modelId="{46AB7FB7-FEE1-4888-9786-E564EB9BF090}" type="presOf" srcId="{442DDA30-4977-4B58-9B23-A109F5FE850A}" destId="{4CE94B6A-B8D5-4E39-84CA-EEA7973B8953}" srcOrd="0" destOrd="0" presId="urn:microsoft.com/office/officeart/2005/8/layout/venn1"/>
    <dgm:cxn modelId="{0BB88A70-CDF7-4FF3-84DD-843BA299EE9D}" type="presOf" srcId="{E8833BDC-3DA8-4383-9720-390C3E6135FB}" destId="{212B74B9-81FF-483B-AD85-B95F07BCAD82}" srcOrd="0" destOrd="0" presId="urn:microsoft.com/office/officeart/2005/8/layout/venn1"/>
    <dgm:cxn modelId="{BF451DD1-88C3-4D9B-97F9-AA6251C5DB29}" srcId="{92880953-B8B9-4F84-89AE-AF21911ECEA9}" destId="{442DDA30-4977-4B58-9B23-A109F5FE850A}" srcOrd="1" destOrd="0" parTransId="{33A6B356-0FBB-4222-A9F1-8C8DA5BA43AF}" sibTransId="{A6027692-C1EE-49D1-AB19-4A90FCEE48A3}"/>
    <dgm:cxn modelId="{B568D691-15B1-42B8-A5FC-23D0502D7CDD}" type="presOf" srcId="{367226A2-A75D-447A-96EA-36E8452D37C2}" destId="{EA0013DE-BDBD-44FC-8CC1-908F7A447692}" srcOrd="1" destOrd="0" presId="urn:microsoft.com/office/officeart/2005/8/layout/venn1"/>
    <dgm:cxn modelId="{334F94EB-3952-41CB-992C-4D82CE387170}" srcId="{92880953-B8B9-4F84-89AE-AF21911ECEA9}" destId="{FD012FB4-788F-4EA6-B8E9-32598CC39F9A}" srcOrd="3" destOrd="0" parTransId="{DC43BD38-74F7-4526-9F10-7A2445CB846C}" sibTransId="{6E74C396-FF8D-442E-89C0-5340906CF3AA}"/>
    <dgm:cxn modelId="{DE0B2239-FCB7-4CD4-8902-3A3A1ADB4B53}" type="presOf" srcId="{FD012FB4-788F-4EA6-B8E9-32598CC39F9A}" destId="{EF07F11A-13D2-4517-97C5-67728C430083}" srcOrd="0" destOrd="0" presId="urn:microsoft.com/office/officeart/2005/8/layout/venn1"/>
    <dgm:cxn modelId="{96A9E390-75A0-47E2-BC83-EBFB631B3635}" type="presOf" srcId="{92880953-B8B9-4F84-89AE-AF21911ECEA9}" destId="{D02A3486-AE68-4E91-8EB4-85D2010570E0}" srcOrd="0" destOrd="0" presId="urn:microsoft.com/office/officeart/2005/8/layout/venn1"/>
    <dgm:cxn modelId="{239DE2DC-B7B5-40FE-A416-08E9838C94C3}" type="presOf" srcId="{FD012FB4-788F-4EA6-B8E9-32598CC39F9A}" destId="{A9B21ADA-3E21-4C4E-9940-528678849268}" srcOrd="1" destOrd="0" presId="urn:microsoft.com/office/officeart/2005/8/layout/venn1"/>
    <dgm:cxn modelId="{32ED578D-89E6-4DD2-A6D5-500DCC4BE2DA}" type="presOf" srcId="{E8833BDC-3DA8-4383-9720-390C3E6135FB}" destId="{8D91FFFB-F260-4F6A-B1D5-93510DA55090}" srcOrd="1" destOrd="0" presId="urn:microsoft.com/office/officeart/2005/8/layout/venn1"/>
    <dgm:cxn modelId="{E5BE1F39-CFE0-4073-80BD-75B93817A117}" type="presParOf" srcId="{D02A3486-AE68-4E91-8EB4-85D2010570E0}" destId="{212B74B9-81FF-483B-AD85-B95F07BCAD82}" srcOrd="0" destOrd="0" presId="urn:microsoft.com/office/officeart/2005/8/layout/venn1"/>
    <dgm:cxn modelId="{541233DA-BF81-45B3-AFF3-3ECAB77BC0DD}" type="presParOf" srcId="{D02A3486-AE68-4E91-8EB4-85D2010570E0}" destId="{8D91FFFB-F260-4F6A-B1D5-93510DA55090}" srcOrd="1" destOrd="0" presId="urn:microsoft.com/office/officeart/2005/8/layout/venn1"/>
    <dgm:cxn modelId="{718912E3-778E-47C4-A6A3-F11178BBD9CC}" type="presParOf" srcId="{D02A3486-AE68-4E91-8EB4-85D2010570E0}" destId="{4CE94B6A-B8D5-4E39-84CA-EEA7973B8953}" srcOrd="2" destOrd="0" presId="urn:microsoft.com/office/officeart/2005/8/layout/venn1"/>
    <dgm:cxn modelId="{80E56E1E-BDE4-471E-93DB-B0ED33D7C979}" type="presParOf" srcId="{D02A3486-AE68-4E91-8EB4-85D2010570E0}" destId="{CDF6B16B-D014-4213-965E-65E7FFB2D155}" srcOrd="3" destOrd="0" presId="urn:microsoft.com/office/officeart/2005/8/layout/venn1"/>
    <dgm:cxn modelId="{F81502DC-0EF4-4808-B946-F33053D2778F}" type="presParOf" srcId="{D02A3486-AE68-4E91-8EB4-85D2010570E0}" destId="{5CECC3B2-A5B1-48ED-8100-BC93679D135F}" srcOrd="4" destOrd="0" presId="urn:microsoft.com/office/officeart/2005/8/layout/venn1"/>
    <dgm:cxn modelId="{8A8931E9-7408-4BC9-A063-698E9CBABF6C}" type="presParOf" srcId="{D02A3486-AE68-4E91-8EB4-85D2010570E0}" destId="{EA0013DE-BDBD-44FC-8CC1-908F7A447692}" srcOrd="5" destOrd="0" presId="urn:microsoft.com/office/officeart/2005/8/layout/venn1"/>
    <dgm:cxn modelId="{835DF4BC-489F-4B47-8628-86455D17F389}" type="presParOf" srcId="{D02A3486-AE68-4E91-8EB4-85D2010570E0}" destId="{EF07F11A-13D2-4517-97C5-67728C430083}" srcOrd="6" destOrd="0" presId="urn:microsoft.com/office/officeart/2005/8/layout/venn1"/>
    <dgm:cxn modelId="{1BBBCBAC-BAD1-4734-969E-F47E22681209}" type="presParOf" srcId="{D02A3486-AE68-4E91-8EB4-85D2010570E0}" destId="{A9B21ADA-3E21-4C4E-9940-528678849268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B74B9-81FF-483B-AD85-B95F07BCAD82}">
      <dsp:nvSpPr>
        <dsp:cNvPr id="0" name=""/>
        <dsp:cNvSpPr/>
      </dsp:nvSpPr>
      <dsp:spPr>
        <a:xfrm>
          <a:off x="1559454" y="29772"/>
          <a:ext cx="1548189" cy="1548189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b="1" kern="1200">
              <a:latin typeface="Garamond" panose="02020404030301010803" pitchFamily="18" charset="0"/>
            </a:rPr>
            <a:t>Надзор увидом и анализом </a:t>
          </a:r>
          <a:endParaRPr lang="en-US" sz="1000" b="1" kern="1200">
            <a:latin typeface="Garamond" panose="02020404030301010803" pitchFamily="18" charset="0"/>
          </a:endParaRPr>
        </a:p>
      </dsp:txBody>
      <dsp:txXfrm>
        <a:off x="1738091" y="238182"/>
        <a:ext cx="1190914" cy="491252"/>
      </dsp:txXfrm>
    </dsp:sp>
    <dsp:sp modelId="{4CE94B6A-B8D5-4E39-84CA-EEA7973B8953}">
      <dsp:nvSpPr>
        <dsp:cNvPr id="0" name=""/>
        <dsp:cNvSpPr/>
      </dsp:nvSpPr>
      <dsp:spPr>
        <a:xfrm>
          <a:off x="2244230" y="714548"/>
          <a:ext cx="1548189" cy="1548189"/>
        </a:xfrm>
        <a:prstGeom prst="ellipse">
          <a:avLst/>
        </a:prstGeom>
        <a:solidFill>
          <a:schemeClr val="accent2">
            <a:alpha val="50000"/>
            <a:hueOff val="-1105760"/>
            <a:satOff val="16535"/>
            <a:lumOff val="58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b="1" kern="1200">
              <a:latin typeface="Garamond" panose="02020404030301010803" pitchFamily="18" charset="0"/>
            </a:rPr>
            <a:t>Ванредни непосредни надзор</a:t>
          </a:r>
          <a:endParaRPr lang="en-US" sz="1000" b="1" kern="1200">
            <a:latin typeface="Garamond" panose="02020404030301010803" pitchFamily="18" charset="0"/>
          </a:endParaRPr>
        </a:p>
      </dsp:txBody>
      <dsp:txXfrm>
        <a:off x="3077870" y="893186"/>
        <a:ext cx="595457" cy="1190914"/>
      </dsp:txXfrm>
    </dsp:sp>
    <dsp:sp modelId="{5CECC3B2-A5B1-48ED-8100-BC93679D135F}">
      <dsp:nvSpPr>
        <dsp:cNvPr id="0" name=""/>
        <dsp:cNvSpPr/>
      </dsp:nvSpPr>
      <dsp:spPr>
        <a:xfrm>
          <a:off x="1559454" y="1399324"/>
          <a:ext cx="1548189" cy="1548189"/>
        </a:xfrm>
        <a:prstGeom prst="ellipse">
          <a:avLst/>
        </a:prstGeom>
        <a:solidFill>
          <a:schemeClr val="accent2">
            <a:alpha val="50000"/>
            <a:hueOff val="-2211520"/>
            <a:satOff val="3306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b="1" kern="1200">
              <a:latin typeface="Garamond" panose="02020404030301010803" pitchFamily="18" charset="0"/>
            </a:rPr>
            <a:t>Притужбе на рад СУ</a:t>
          </a:r>
          <a:endParaRPr lang="en-US" sz="1000" b="1" kern="1200">
            <a:latin typeface="Garamond" panose="02020404030301010803" pitchFamily="18" charset="0"/>
          </a:endParaRPr>
        </a:p>
      </dsp:txBody>
      <dsp:txXfrm>
        <a:off x="1738091" y="2247851"/>
        <a:ext cx="1190914" cy="491252"/>
      </dsp:txXfrm>
    </dsp:sp>
    <dsp:sp modelId="{EF07F11A-13D2-4517-97C5-67728C430083}">
      <dsp:nvSpPr>
        <dsp:cNvPr id="0" name=""/>
        <dsp:cNvSpPr/>
      </dsp:nvSpPr>
      <dsp:spPr>
        <a:xfrm>
          <a:off x="864336" y="704206"/>
          <a:ext cx="1548189" cy="1548189"/>
        </a:xfrm>
        <a:prstGeom prst="ellipse">
          <a:avLst/>
        </a:prstGeom>
        <a:solidFill>
          <a:schemeClr val="accent2">
            <a:alpha val="50000"/>
            <a:hueOff val="-3317280"/>
            <a:satOff val="49604"/>
            <a:lumOff val="176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000" b="1" kern="1200">
              <a:latin typeface="Garamond" panose="02020404030301010803" pitchFamily="18" charset="0"/>
            </a:rPr>
            <a:t>Редовни непосредни надзор</a:t>
          </a:r>
          <a:endParaRPr lang="en-US" sz="1000" b="1" kern="1200">
            <a:latin typeface="Garamond" panose="02020404030301010803" pitchFamily="18" charset="0"/>
          </a:endParaRPr>
        </a:p>
      </dsp:txBody>
      <dsp:txXfrm>
        <a:off x="983427" y="882844"/>
        <a:ext cx="595457" cy="1190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CC79673A16430183C2CFB2D4ED2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1E6B-589E-45E6-803C-A9AC512058CC}"/>
      </w:docPartPr>
      <w:docPartBody>
        <w:p w:rsidR="00B858DA" w:rsidRDefault="00D54D65">
          <w:pPr>
            <w:pStyle w:val="41CC79673A16430183C2CFB2D4ED28E6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040A6842B8BD4C9A809ED35D584C6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FB041-A30C-49FF-982C-3BD46606B6BA}"/>
      </w:docPartPr>
      <w:docPartBody>
        <w:p w:rsidR="00B858DA" w:rsidRDefault="00D54D65">
          <w:pPr>
            <w:pStyle w:val="040A6842B8BD4C9A809ED35D584C6383"/>
          </w:pPr>
          <w:r>
            <w:t>[Email]</w:t>
          </w:r>
        </w:p>
      </w:docPartBody>
    </w:docPart>
    <w:docPart>
      <w:docPartPr>
        <w:name w:val="8AE9AB1CE1C24C61B292E8EDC84B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AD71-0F4B-4D5A-8063-79B535239D04}"/>
      </w:docPartPr>
      <w:docPartBody>
        <w:p w:rsidR="00B858DA" w:rsidRDefault="00D54D65">
          <w:pPr>
            <w:pStyle w:val="8AE9AB1CE1C24C61B292E8EDC84BE06D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65"/>
    <w:rsid w:val="00015903"/>
    <w:rsid w:val="00043E75"/>
    <w:rsid w:val="00063E68"/>
    <w:rsid w:val="00111BB2"/>
    <w:rsid w:val="001238B8"/>
    <w:rsid w:val="00266D3C"/>
    <w:rsid w:val="00346511"/>
    <w:rsid w:val="003478C7"/>
    <w:rsid w:val="00486521"/>
    <w:rsid w:val="00504F67"/>
    <w:rsid w:val="005E3F25"/>
    <w:rsid w:val="00660027"/>
    <w:rsid w:val="00743F77"/>
    <w:rsid w:val="00805682"/>
    <w:rsid w:val="00940D0F"/>
    <w:rsid w:val="009E78F9"/>
    <w:rsid w:val="00A85FE0"/>
    <w:rsid w:val="00AF1669"/>
    <w:rsid w:val="00B858DA"/>
    <w:rsid w:val="00D24997"/>
    <w:rsid w:val="00D54D65"/>
    <w:rsid w:val="00DB5ABC"/>
    <w:rsid w:val="00DD2155"/>
    <w:rsid w:val="00E5080D"/>
    <w:rsid w:val="00F76BE1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ACCB800EB14001AB03548ADAC29B75">
    <w:name w:val="28ACCB800EB14001AB03548ADAC29B75"/>
  </w:style>
  <w:style w:type="paragraph" w:customStyle="1" w:styleId="27A6A5B0C18444DEA81B97919F1E25D1">
    <w:name w:val="27A6A5B0C18444DEA81B97919F1E25D1"/>
  </w:style>
  <w:style w:type="paragraph" w:customStyle="1" w:styleId="64802C26E19D414ABFE9500A8FADFAF8">
    <w:name w:val="64802C26E19D414ABFE9500A8FADFAF8"/>
  </w:style>
  <w:style w:type="paragraph" w:customStyle="1" w:styleId="41CC79673A16430183C2CFB2D4ED28E6">
    <w:name w:val="41CC79673A16430183C2CFB2D4ED28E6"/>
  </w:style>
  <w:style w:type="paragraph" w:customStyle="1" w:styleId="294DEB42EF784B3AB1803F6F8BC8BBE1">
    <w:name w:val="294DEB42EF784B3AB1803F6F8BC8BBE1"/>
  </w:style>
  <w:style w:type="paragraph" w:customStyle="1" w:styleId="82AB0179041C43BD99E1B51D3478D657">
    <w:name w:val="82AB0179041C43BD99E1B51D3478D657"/>
  </w:style>
  <w:style w:type="paragraph" w:customStyle="1" w:styleId="040A6842B8BD4C9A809ED35D584C6383">
    <w:name w:val="040A6842B8BD4C9A809ED35D584C6383"/>
  </w:style>
  <w:style w:type="paragraph" w:customStyle="1" w:styleId="8AE9AB1CE1C24C61B292E8EDC84BE06D">
    <w:name w:val="8AE9AB1CE1C24C61B292E8EDC84BE06D"/>
  </w:style>
  <w:style w:type="paragraph" w:customStyle="1" w:styleId="4A60775302494BDB862CE76C3ED6F4FA">
    <w:name w:val="4A60775302494BDB862CE76C3ED6F4FA"/>
  </w:style>
  <w:style w:type="paragraph" w:customStyle="1" w:styleId="8784357A1FE64E6FA5AB448F0FBE5B16">
    <w:name w:val="8784357A1FE64E6FA5AB448F0FBE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НОВЕМБАР 2015</PublishDate>
  <Abstract/>
  <CompanyAddress>Агенција за лиценцирање стечајних управника
Теразије 23, Београд</CompanyAddress>
  <CompanyPhone/>
  <CompanyFax/>
  <CompanyEmail>јovica.todic@alsu.gov.rs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68C74-3941-4412-A6C1-88743C9B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plan</Template>
  <TotalTime>360</TotalTime>
  <Pages>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Статистика рада Центра за надзор, oбрачун Тарифе АЛСУ и стручни надзор над радом стечајних управника</vt:lpstr>
    </vt:vector>
  </TitlesOfParts>
  <Company/>
  <LinksUpToDate>false</LinksUpToDate>
  <CharactersWithSpaces>25219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Статистика рада Центра за надзор, oбрачун Тарифе АЛСУ и стручни надзор над радом стечајних управника</dc:title>
  <dc:subject>Јовица Тодић, супервизор</dc:subject>
  <dc:creator>Jelena Todic</dc:creator>
  <cp:keywords/>
  <dc:description/>
  <cp:lastModifiedBy>Jovica JT. Todic</cp:lastModifiedBy>
  <cp:revision>23</cp:revision>
  <cp:lastPrinted>2017-02-27T09:44:00Z</cp:lastPrinted>
  <dcterms:created xsi:type="dcterms:W3CDTF">2017-02-23T08:32:00Z</dcterms:created>
  <dcterms:modified xsi:type="dcterms:W3CDTF">2017-02-27T10:29:00Z</dcterms:modified>
  <cp:contentStatus>www.alsu.gov.rs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