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06" w:rsidRPr="00B77506" w:rsidRDefault="00B77506" w:rsidP="00B77506">
      <w:pPr>
        <w:spacing w:after="0" w:line="240" w:lineRule="auto"/>
        <w:jc w:val="center"/>
        <w:rPr>
          <w:rFonts w:ascii="Times New Roman" w:hAnsi="Times New Roman" w:cs="Times New Roman"/>
          <w:b/>
          <w:sz w:val="28"/>
          <w:szCs w:val="28"/>
          <w:lang w:val="sr-Cyrl-RS"/>
        </w:rPr>
      </w:pPr>
      <w:r w:rsidRPr="00B77506">
        <w:rPr>
          <w:rFonts w:ascii="Times New Roman" w:hAnsi="Times New Roman" w:cs="Times New Roman"/>
          <w:b/>
          <w:sz w:val="28"/>
          <w:szCs w:val="28"/>
          <w:lang w:val="sr-Cyrl-RS"/>
        </w:rPr>
        <w:t xml:space="preserve">ИЗВЕШТАВАЊЕ У СТЕЧАЈНОМ ПОСТУПКУ </w:t>
      </w:r>
    </w:p>
    <w:p w:rsidR="00B77506" w:rsidRPr="00B77506" w:rsidRDefault="00B77506" w:rsidP="00B77506">
      <w:pPr>
        <w:spacing w:after="0" w:line="240" w:lineRule="auto"/>
        <w:jc w:val="center"/>
        <w:rPr>
          <w:rFonts w:ascii="Times New Roman" w:hAnsi="Times New Roman" w:cs="Times New Roman"/>
          <w:b/>
          <w:sz w:val="28"/>
          <w:szCs w:val="28"/>
          <w:lang w:val="sr-Cyrl-RS"/>
        </w:rPr>
      </w:pPr>
      <w:r w:rsidRPr="00B77506">
        <w:rPr>
          <w:rFonts w:ascii="Times New Roman" w:hAnsi="Times New Roman" w:cs="Times New Roman"/>
          <w:b/>
          <w:sz w:val="28"/>
          <w:szCs w:val="28"/>
          <w:lang w:val="sr-Cyrl-RS"/>
        </w:rPr>
        <w:t xml:space="preserve">И </w:t>
      </w:r>
    </w:p>
    <w:p w:rsidR="003C0761" w:rsidRDefault="00B77506" w:rsidP="00B77506">
      <w:pPr>
        <w:spacing w:after="0" w:line="240" w:lineRule="auto"/>
        <w:jc w:val="center"/>
        <w:rPr>
          <w:rFonts w:ascii="Times New Roman" w:hAnsi="Times New Roman" w:cs="Times New Roman"/>
          <w:b/>
          <w:sz w:val="28"/>
          <w:szCs w:val="28"/>
          <w:lang w:val="sr-Cyrl-RS"/>
        </w:rPr>
      </w:pPr>
      <w:r w:rsidRPr="00B77506">
        <w:rPr>
          <w:rFonts w:ascii="Times New Roman" w:hAnsi="Times New Roman" w:cs="Times New Roman"/>
          <w:b/>
          <w:sz w:val="28"/>
          <w:szCs w:val="28"/>
          <w:lang w:val="sr-Cyrl-RS"/>
        </w:rPr>
        <w:t>НАЧЕЛО ТРАНСПАРЕНТНОСТИ</w:t>
      </w:r>
    </w:p>
    <w:p w:rsidR="00B77506" w:rsidRDefault="00B77506" w:rsidP="00B77506">
      <w:pPr>
        <w:spacing w:after="0" w:line="240" w:lineRule="auto"/>
        <w:jc w:val="center"/>
        <w:rPr>
          <w:rFonts w:ascii="Times New Roman" w:hAnsi="Times New Roman" w:cs="Times New Roman"/>
          <w:b/>
          <w:sz w:val="28"/>
          <w:szCs w:val="28"/>
          <w:lang w:val="sr-Cyrl-RS"/>
        </w:rPr>
      </w:pPr>
    </w:p>
    <w:p w:rsidR="00B77506" w:rsidRPr="00687FCC" w:rsidRDefault="009343A9" w:rsidP="00B77506">
      <w:pPr>
        <w:spacing w:after="0" w:line="240" w:lineRule="auto"/>
        <w:jc w:val="both"/>
        <w:rPr>
          <w:rFonts w:ascii="Times New Roman" w:hAnsi="Times New Roman" w:cs="Times New Roman"/>
          <w:lang w:val="sr-Cyrl-RS"/>
        </w:rPr>
      </w:pPr>
      <w:r w:rsidRPr="00687FCC">
        <w:rPr>
          <w:rFonts w:ascii="Times New Roman" w:hAnsi="Times New Roman" w:cs="Times New Roman"/>
          <w:lang w:val="sr-Cyrl-RS"/>
        </w:rPr>
        <w:t>Јавним приступом информацијама обезбеђује се ефикасније о</w:t>
      </w:r>
      <w:r w:rsidR="00B77506" w:rsidRPr="00687FCC">
        <w:rPr>
          <w:rFonts w:ascii="Times New Roman" w:hAnsi="Times New Roman" w:cs="Times New Roman"/>
          <w:lang w:val="sr-Cyrl-RS"/>
        </w:rPr>
        <w:t>бавештавање поверилаца и заинтересованих лица о свим фаза</w:t>
      </w:r>
      <w:r w:rsidRPr="00687FCC">
        <w:rPr>
          <w:rFonts w:ascii="Times New Roman" w:hAnsi="Times New Roman" w:cs="Times New Roman"/>
          <w:lang w:val="sr-Cyrl-RS"/>
        </w:rPr>
        <w:t xml:space="preserve">ма одређеног стечајног поступка. </w:t>
      </w:r>
      <w:r w:rsidR="00B77506" w:rsidRPr="00687FCC">
        <w:rPr>
          <w:rFonts w:ascii="Times New Roman" w:hAnsi="Times New Roman" w:cs="Times New Roman"/>
          <w:lang w:val="sr-Cyrl-RS"/>
        </w:rPr>
        <w:t xml:space="preserve"> </w:t>
      </w:r>
      <w:r w:rsidR="00241300" w:rsidRPr="00687FCC">
        <w:rPr>
          <w:rFonts w:ascii="Times New Roman" w:hAnsi="Times New Roman" w:cs="Times New Roman"/>
          <w:lang w:val="sr-Cyrl-RS"/>
        </w:rPr>
        <w:t>Закон о стечају и Национални стандарди за уп</w:t>
      </w:r>
      <w:r w:rsidR="00E76320">
        <w:rPr>
          <w:rFonts w:ascii="Times New Roman" w:hAnsi="Times New Roman" w:cs="Times New Roman"/>
          <w:lang w:val="sr-Cyrl-RS"/>
        </w:rPr>
        <w:t>рављање стечајном масом прописују</w:t>
      </w:r>
      <w:r w:rsidR="00241300" w:rsidRPr="00687FCC">
        <w:rPr>
          <w:rFonts w:ascii="Times New Roman" w:hAnsi="Times New Roman" w:cs="Times New Roman"/>
          <w:lang w:val="sr-Cyrl-RS"/>
        </w:rPr>
        <w:t xml:space="preserve"> да јавно објављивање свих података о стечајним поступцима врше:</w:t>
      </w:r>
    </w:p>
    <w:p w:rsidR="003F6E9B" w:rsidRPr="00687FCC" w:rsidRDefault="003F6E9B" w:rsidP="00B77506">
      <w:pPr>
        <w:spacing w:after="0" w:line="240" w:lineRule="auto"/>
        <w:jc w:val="both"/>
        <w:rPr>
          <w:rFonts w:ascii="Times New Roman" w:hAnsi="Times New Roman" w:cs="Times New Roman"/>
          <w:lang w:val="sr-Cyrl-RS"/>
        </w:rPr>
      </w:pPr>
    </w:p>
    <w:p w:rsidR="00C433B1" w:rsidRDefault="00241300" w:rsidP="00C433B1">
      <w:pPr>
        <w:pStyle w:val="ListParagraph"/>
        <w:numPr>
          <w:ilvl w:val="0"/>
          <w:numId w:val="1"/>
        </w:numPr>
        <w:spacing w:after="0" w:line="240" w:lineRule="auto"/>
        <w:rPr>
          <w:rFonts w:ascii="Times New Roman" w:hAnsi="Times New Roman" w:cs="Times New Roman"/>
          <w:lang w:val="sr-Cyrl-RS"/>
        </w:rPr>
      </w:pPr>
      <w:r w:rsidRPr="00687FCC">
        <w:rPr>
          <w:rFonts w:ascii="Times New Roman" w:hAnsi="Times New Roman" w:cs="Times New Roman"/>
          <w:lang w:val="sr-Cyrl-RS"/>
        </w:rPr>
        <w:t>надлежни суд</w:t>
      </w:r>
      <w:r w:rsidR="00965ACA" w:rsidRPr="00687FCC">
        <w:rPr>
          <w:rFonts w:ascii="Times New Roman" w:hAnsi="Times New Roman" w:cs="Times New Roman"/>
          <w:lang w:val="sr-Cyrl-RS"/>
        </w:rPr>
        <w:t>;</w:t>
      </w:r>
    </w:p>
    <w:p w:rsidR="00241300" w:rsidRPr="00C433B1" w:rsidRDefault="00C433B1" w:rsidP="00C433B1">
      <w:pPr>
        <w:pStyle w:val="ListParagraph"/>
        <w:numPr>
          <w:ilvl w:val="0"/>
          <w:numId w:val="1"/>
        </w:numPr>
        <w:spacing w:after="0" w:line="240" w:lineRule="auto"/>
        <w:rPr>
          <w:rFonts w:ascii="Times New Roman" w:hAnsi="Times New Roman" w:cs="Times New Roman"/>
          <w:lang w:val="sr-Cyrl-RS"/>
        </w:rPr>
      </w:pPr>
      <w:r w:rsidRPr="00C433B1">
        <w:rPr>
          <w:rFonts w:ascii="Times New Roman" w:hAnsi="Times New Roman" w:cs="Times New Roman"/>
          <w:lang w:val="sr-Cyrl-RS"/>
        </w:rPr>
        <w:t>одговарајући регистри;</w:t>
      </w:r>
    </w:p>
    <w:p w:rsidR="00965ACA" w:rsidRPr="00687FCC" w:rsidRDefault="00241300" w:rsidP="00965ACA">
      <w:pPr>
        <w:pStyle w:val="ListParagraph"/>
        <w:numPr>
          <w:ilvl w:val="0"/>
          <w:numId w:val="1"/>
        </w:numPr>
        <w:spacing w:after="0" w:line="240" w:lineRule="auto"/>
        <w:rPr>
          <w:rFonts w:ascii="Times New Roman" w:hAnsi="Times New Roman" w:cs="Times New Roman"/>
          <w:lang w:val="sr-Cyrl-RS"/>
        </w:rPr>
      </w:pPr>
      <w:r w:rsidRPr="00687FCC">
        <w:rPr>
          <w:rFonts w:ascii="Times New Roman" w:hAnsi="Times New Roman" w:cs="Times New Roman"/>
          <w:lang w:val="sr-Cyrl-RS"/>
        </w:rPr>
        <w:t>овлашћена организација (Агенција за лиценцирање стечајних управника)</w:t>
      </w:r>
      <w:r w:rsidR="00965ACA" w:rsidRPr="00687FCC">
        <w:rPr>
          <w:rFonts w:ascii="Times New Roman" w:hAnsi="Times New Roman" w:cs="Times New Roman"/>
          <w:lang w:val="sr-Cyrl-RS"/>
        </w:rPr>
        <w:t>.</w:t>
      </w:r>
    </w:p>
    <w:p w:rsidR="003F6E9B" w:rsidRPr="00687FCC" w:rsidRDefault="003F6E9B" w:rsidP="003F6E9B">
      <w:pPr>
        <w:pStyle w:val="ListParagraph"/>
        <w:spacing w:after="0" w:line="240" w:lineRule="auto"/>
        <w:rPr>
          <w:rFonts w:ascii="Times New Roman" w:hAnsi="Times New Roman" w:cs="Times New Roman"/>
          <w:lang w:val="sr-Cyrl-RS"/>
        </w:rPr>
      </w:pPr>
    </w:p>
    <w:p w:rsidR="00965ACA" w:rsidRPr="00687FCC" w:rsidRDefault="00AB4A91" w:rsidP="003F6E9B">
      <w:pPr>
        <w:spacing w:after="0" w:line="240" w:lineRule="auto"/>
        <w:jc w:val="both"/>
        <w:rPr>
          <w:rFonts w:ascii="Times New Roman" w:hAnsi="Times New Roman" w:cs="Times New Roman"/>
          <w:lang w:val="sr-Cyrl-RS"/>
        </w:rPr>
      </w:pPr>
      <w:r>
        <w:rPr>
          <w:rFonts w:ascii="Times New Roman" w:hAnsi="Times New Roman" w:cs="Times New Roman"/>
          <w:lang w:val="sr-Cyrl-RS"/>
        </w:rPr>
        <w:t>Закон о стечају прописује</w:t>
      </w:r>
      <w:r w:rsidR="00A80C02" w:rsidRPr="00687FCC">
        <w:rPr>
          <w:rFonts w:ascii="Times New Roman" w:hAnsi="Times New Roman" w:cs="Times New Roman"/>
          <w:lang w:val="sr-Cyrl-RS"/>
        </w:rPr>
        <w:t xml:space="preserve"> </w:t>
      </w:r>
      <w:r w:rsidR="007211F1">
        <w:rPr>
          <w:rFonts w:ascii="Times New Roman" w:hAnsi="Times New Roman" w:cs="Times New Roman"/>
          <w:lang w:val="sr-Cyrl-RS"/>
        </w:rPr>
        <w:t xml:space="preserve">и </w:t>
      </w:r>
      <w:r w:rsidR="00A80C02" w:rsidRPr="00687FCC">
        <w:rPr>
          <w:rFonts w:ascii="Times New Roman" w:hAnsi="Times New Roman" w:cs="Times New Roman"/>
          <w:lang w:val="sr-Cyrl-RS"/>
        </w:rPr>
        <w:t xml:space="preserve">да се сви огласи, решења и други акти суда, на дан доношења, објављују на огласној табли и електронској огласној табли суда, као и да се, када је то прописано, решења и други акти суда достављају одговарајућем регистру у циљу </w:t>
      </w:r>
      <w:r w:rsidR="003F6E9B" w:rsidRPr="00687FCC">
        <w:rPr>
          <w:rFonts w:ascii="Times New Roman" w:hAnsi="Times New Roman" w:cs="Times New Roman"/>
          <w:lang w:val="sr-Cyrl-RS"/>
        </w:rPr>
        <w:t>јавног објављивања на интернет страни тог регистра или на други одговарајући начин</w:t>
      </w:r>
      <w:r w:rsidR="00777CE8" w:rsidRPr="00687FCC">
        <w:rPr>
          <w:rFonts w:ascii="Times New Roman" w:hAnsi="Times New Roman" w:cs="Times New Roman"/>
          <w:lang w:val="sr-Cyrl-RS"/>
        </w:rPr>
        <w:t>,</w:t>
      </w:r>
      <w:r w:rsidR="003F6E9B" w:rsidRPr="00687FCC">
        <w:rPr>
          <w:rFonts w:ascii="Times New Roman" w:hAnsi="Times New Roman" w:cs="Times New Roman"/>
          <w:lang w:val="sr-Cyrl-RS"/>
        </w:rPr>
        <w:t xml:space="preserve"> уколико тај регистар нема своју интернет страну.</w:t>
      </w:r>
    </w:p>
    <w:p w:rsidR="00B929B2" w:rsidRDefault="00B929B2" w:rsidP="003F6E9B">
      <w:pPr>
        <w:spacing w:after="0" w:line="240" w:lineRule="auto"/>
        <w:jc w:val="both"/>
        <w:rPr>
          <w:rFonts w:ascii="Times New Roman" w:hAnsi="Times New Roman" w:cs="Times New Roman"/>
          <w:sz w:val="24"/>
          <w:szCs w:val="24"/>
          <w:lang w:val="sr-Cyrl-RS"/>
        </w:rPr>
      </w:pPr>
    </w:p>
    <w:p w:rsidR="00A55FEA" w:rsidRDefault="00097220" w:rsidP="00097220">
      <w:pPr>
        <w:autoSpaceDE w:val="0"/>
        <w:autoSpaceDN w:val="0"/>
        <w:adjustRightInd w:val="0"/>
        <w:spacing w:after="0" w:line="240" w:lineRule="auto"/>
        <w:jc w:val="both"/>
        <w:rPr>
          <w:rFonts w:ascii="Times New Roman" w:hAnsi="Times New Roman" w:cs="Times New Roman"/>
          <w:lang w:val="sr-Cyrl-RS"/>
        </w:rPr>
      </w:pPr>
      <w:r>
        <w:rPr>
          <w:rFonts w:ascii="Times New Roman" w:hAnsi="Times New Roman" w:cs="Times New Roman"/>
          <w:lang w:val="sr-Cyrl-RS"/>
        </w:rPr>
        <w:t>Н</w:t>
      </w:r>
      <w:r>
        <w:rPr>
          <w:rFonts w:ascii="Times New Roman" w:hAnsi="Times New Roman" w:cs="Times New Roman"/>
        </w:rPr>
        <w:t>ационални</w:t>
      </w:r>
      <w:r w:rsidRPr="006D7EE2">
        <w:rPr>
          <w:rFonts w:ascii="Times New Roman" w:hAnsi="Times New Roman" w:cs="Times New Roman"/>
        </w:rPr>
        <w:t xml:space="preserve"> </w:t>
      </w:r>
      <w:r>
        <w:rPr>
          <w:rFonts w:ascii="Times New Roman" w:hAnsi="Times New Roman" w:cs="Times New Roman"/>
        </w:rPr>
        <w:t>стандард</w:t>
      </w:r>
      <w:r w:rsidRPr="006D7EE2">
        <w:rPr>
          <w:rFonts w:ascii="Times New Roman" w:hAnsi="Times New Roman" w:cs="Times New Roman"/>
        </w:rPr>
        <w:t xml:space="preserve"> </w:t>
      </w:r>
      <w:r>
        <w:rPr>
          <w:rFonts w:ascii="Times New Roman" w:hAnsi="Times New Roman" w:cs="Times New Roman"/>
        </w:rPr>
        <w:t>о</w:t>
      </w:r>
      <w:r w:rsidRPr="006D7EE2">
        <w:rPr>
          <w:rFonts w:ascii="Times New Roman" w:hAnsi="Times New Roman" w:cs="Times New Roman"/>
        </w:rPr>
        <w:t xml:space="preserve"> </w:t>
      </w:r>
      <w:r>
        <w:rPr>
          <w:rFonts w:ascii="Times New Roman" w:hAnsi="Times New Roman" w:cs="Times New Roman"/>
        </w:rPr>
        <w:t>извештавању</w:t>
      </w:r>
      <w:r w:rsidRPr="006D7EE2">
        <w:rPr>
          <w:rFonts w:ascii="Times New Roman" w:hAnsi="Times New Roman" w:cs="Times New Roman"/>
        </w:rPr>
        <w:t xml:space="preserve"> </w:t>
      </w:r>
      <w:r>
        <w:rPr>
          <w:rFonts w:ascii="Times New Roman" w:hAnsi="Times New Roman" w:cs="Times New Roman"/>
        </w:rPr>
        <w:t>и</w:t>
      </w:r>
      <w:r w:rsidRPr="006D7EE2">
        <w:rPr>
          <w:rFonts w:ascii="Times New Roman" w:hAnsi="Times New Roman" w:cs="Times New Roman"/>
        </w:rPr>
        <w:t xml:space="preserve"> </w:t>
      </w:r>
      <w:r>
        <w:rPr>
          <w:rFonts w:ascii="Times New Roman" w:hAnsi="Times New Roman" w:cs="Times New Roman"/>
        </w:rPr>
        <w:t>обавештавању</w:t>
      </w:r>
      <w:r w:rsidRPr="006D7EE2">
        <w:rPr>
          <w:rFonts w:ascii="Times New Roman" w:hAnsi="Times New Roman" w:cs="Times New Roman"/>
        </w:rPr>
        <w:t xml:space="preserve"> </w:t>
      </w:r>
      <w:r>
        <w:rPr>
          <w:rFonts w:ascii="Times New Roman" w:hAnsi="Times New Roman" w:cs="Times New Roman"/>
          <w:lang w:val="sr-Cyrl-RS"/>
        </w:rPr>
        <w:t>А</w:t>
      </w:r>
      <w:r>
        <w:rPr>
          <w:rFonts w:ascii="Times New Roman" w:hAnsi="Times New Roman" w:cs="Times New Roman"/>
        </w:rPr>
        <w:t>генције</w:t>
      </w:r>
      <w:r w:rsidRPr="006D7EE2">
        <w:rPr>
          <w:rFonts w:ascii="Times New Roman" w:hAnsi="Times New Roman" w:cs="Times New Roman"/>
        </w:rPr>
        <w:t xml:space="preserve"> </w:t>
      </w:r>
      <w:r>
        <w:rPr>
          <w:rFonts w:ascii="Times New Roman" w:hAnsi="Times New Roman" w:cs="Times New Roman"/>
        </w:rPr>
        <w:t>за</w:t>
      </w:r>
      <w:r w:rsidRPr="006D7EE2">
        <w:rPr>
          <w:rFonts w:ascii="Times New Roman" w:hAnsi="Times New Roman" w:cs="Times New Roman"/>
        </w:rPr>
        <w:t xml:space="preserve"> </w:t>
      </w:r>
      <w:r>
        <w:rPr>
          <w:rFonts w:ascii="Times New Roman" w:hAnsi="Times New Roman" w:cs="Times New Roman"/>
        </w:rPr>
        <w:t>лиценцирање</w:t>
      </w:r>
      <w:r w:rsidRPr="006D7EE2">
        <w:rPr>
          <w:rFonts w:ascii="Times New Roman" w:hAnsi="Times New Roman" w:cs="Times New Roman"/>
        </w:rPr>
        <w:t xml:space="preserve"> </w:t>
      </w:r>
      <w:r>
        <w:rPr>
          <w:rFonts w:ascii="Times New Roman" w:hAnsi="Times New Roman" w:cs="Times New Roman"/>
        </w:rPr>
        <w:t>стечајних</w:t>
      </w:r>
      <w:r w:rsidRPr="006D7EE2">
        <w:rPr>
          <w:rFonts w:ascii="Times New Roman" w:hAnsi="Times New Roman" w:cs="Times New Roman"/>
        </w:rPr>
        <w:t xml:space="preserve"> </w:t>
      </w:r>
      <w:r>
        <w:rPr>
          <w:rFonts w:ascii="Times New Roman" w:hAnsi="Times New Roman" w:cs="Times New Roman"/>
        </w:rPr>
        <w:t>управника</w:t>
      </w:r>
      <w:r w:rsidR="00200DDA">
        <w:rPr>
          <w:rFonts w:ascii="Times New Roman" w:hAnsi="Times New Roman" w:cs="Times New Roman"/>
          <w:lang w:val="sr-Cyrl-RS"/>
        </w:rPr>
        <w:t xml:space="preserve"> -</w:t>
      </w:r>
      <w:r w:rsidR="00200DDA" w:rsidRPr="00200DDA">
        <w:rPr>
          <w:rFonts w:ascii="Times New Roman" w:hAnsi="Times New Roman" w:cs="Times New Roman"/>
          <w:lang w:val="sr-Cyrl-RS"/>
        </w:rPr>
        <w:t xml:space="preserve"> </w:t>
      </w:r>
      <w:r w:rsidR="00200DDA">
        <w:rPr>
          <w:rFonts w:ascii="Times New Roman" w:hAnsi="Times New Roman" w:cs="Times New Roman"/>
          <w:lang w:val="sr-Cyrl-RS"/>
        </w:rPr>
        <w:t>Н</w:t>
      </w:r>
      <w:r w:rsidR="00200DDA">
        <w:rPr>
          <w:rFonts w:ascii="Times New Roman" w:hAnsi="Times New Roman" w:cs="Times New Roman"/>
        </w:rPr>
        <w:t>ационални</w:t>
      </w:r>
      <w:r w:rsidR="00200DDA" w:rsidRPr="006D7EE2">
        <w:rPr>
          <w:rFonts w:ascii="Times New Roman" w:hAnsi="Times New Roman" w:cs="Times New Roman"/>
        </w:rPr>
        <w:t xml:space="preserve"> </w:t>
      </w:r>
      <w:r w:rsidR="00200DDA">
        <w:rPr>
          <w:rFonts w:ascii="Times New Roman" w:hAnsi="Times New Roman" w:cs="Times New Roman"/>
        </w:rPr>
        <w:t>стандард</w:t>
      </w:r>
      <w:r w:rsidR="00200DDA" w:rsidRPr="006D7EE2">
        <w:rPr>
          <w:rFonts w:ascii="Times New Roman" w:hAnsi="Times New Roman" w:cs="Times New Roman"/>
        </w:rPr>
        <w:t xml:space="preserve"> </w:t>
      </w:r>
      <w:r w:rsidR="00200DDA">
        <w:rPr>
          <w:rFonts w:ascii="Times New Roman" w:hAnsi="Times New Roman" w:cs="Times New Roman"/>
        </w:rPr>
        <w:t>број 4</w:t>
      </w:r>
      <w:r w:rsidR="00B74172">
        <w:rPr>
          <w:rFonts w:ascii="Times New Roman" w:hAnsi="Times New Roman" w:cs="Times New Roman"/>
          <w:lang w:val="sr-Cyrl-RS"/>
        </w:rPr>
        <w:t xml:space="preserve">, прецизира </w:t>
      </w:r>
      <w:r>
        <w:rPr>
          <w:rFonts w:ascii="Times New Roman" w:hAnsi="Times New Roman" w:cs="Times New Roman"/>
        </w:rPr>
        <w:t>списак</w:t>
      </w:r>
      <w:r w:rsidR="00211AA1">
        <w:rPr>
          <w:rFonts w:ascii="Times New Roman" w:hAnsi="Times New Roman" w:cs="Times New Roman"/>
          <w:lang w:val="sr-Cyrl-RS"/>
        </w:rPr>
        <w:t xml:space="preserve"> документације</w:t>
      </w:r>
      <w:r w:rsidRPr="006D7EE2">
        <w:rPr>
          <w:rFonts w:ascii="Times New Roman" w:hAnsi="Times New Roman" w:cs="Times New Roman"/>
        </w:rPr>
        <w:t xml:space="preserve"> </w:t>
      </w:r>
      <w:r>
        <w:rPr>
          <w:rFonts w:ascii="Times New Roman" w:hAnsi="Times New Roman" w:cs="Times New Roman"/>
        </w:rPr>
        <w:t>кој</w:t>
      </w:r>
      <w:r>
        <w:rPr>
          <w:rFonts w:ascii="Times New Roman" w:hAnsi="Times New Roman" w:cs="Times New Roman"/>
          <w:lang w:val="sr-Cyrl-RS"/>
        </w:rPr>
        <w:t>у</w:t>
      </w:r>
      <w:r w:rsidRPr="006D7EE2">
        <w:rPr>
          <w:rFonts w:ascii="Times New Roman" w:hAnsi="Times New Roman" w:cs="Times New Roman"/>
        </w:rPr>
        <w:t xml:space="preserve"> </w:t>
      </w:r>
      <w:r>
        <w:rPr>
          <w:rFonts w:ascii="Times New Roman" w:hAnsi="Times New Roman" w:cs="Times New Roman"/>
        </w:rPr>
        <w:t>је</w:t>
      </w:r>
      <w:r w:rsidRPr="006D7EE2">
        <w:rPr>
          <w:rFonts w:ascii="Times New Roman" w:hAnsi="Times New Roman" w:cs="Times New Roman"/>
        </w:rPr>
        <w:t xml:space="preserve"> </w:t>
      </w:r>
      <w:r>
        <w:rPr>
          <w:rFonts w:ascii="Times New Roman" w:hAnsi="Times New Roman" w:cs="Times New Roman"/>
        </w:rPr>
        <w:t>стечајни</w:t>
      </w:r>
      <w:r w:rsidRPr="006D7EE2">
        <w:rPr>
          <w:rFonts w:ascii="Times New Roman" w:hAnsi="Times New Roman" w:cs="Times New Roman"/>
        </w:rPr>
        <w:t xml:space="preserve"> </w:t>
      </w:r>
      <w:r>
        <w:rPr>
          <w:rFonts w:ascii="Times New Roman" w:hAnsi="Times New Roman" w:cs="Times New Roman"/>
        </w:rPr>
        <w:t>управник</w:t>
      </w:r>
      <w:r w:rsidRPr="006D7EE2">
        <w:rPr>
          <w:rFonts w:ascii="Times New Roman" w:hAnsi="Times New Roman" w:cs="Times New Roman"/>
        </w:rPr>
        <w:t xml:space="preserve"> </w:t>
      </w:r>
      <w:r>
        <w:rPr>
          <w:rFonts w:ascii="Times New Roman" w:hAnsi="Times New Roman" w:cs="Times New Roman"/>
        </w:rPr>
        <w:t>у</w:t>
      </w:r>
      <w:r w:rsidRPr="006D7EE2">
        <w:rPr>
          <w:rFonts w:ascii="Times New Roman" w:hAnsi="Times New Roman" w:cs="Times New Roman"/>
        </w:rPr>
        <w:t xml:space="preserve"> </w:t>
      </w:r>
      <w:r>
        <w:rPr>
          <w:rFonts w:ascii="Times New Roman" w:hAnsi="Times New Roman" w:cs="Times New Roman"/>
        </w:rPr>
        <w:t>обавези</w:t>
      </w:r>
      <w:r w:rsidRPr="006D7EE2">
        <w:rPr>
          <w:rFonts w:ascii="Times New Roman" w:hAnsi="Times New Roman" w:cs="Times New Roman"/>
        </w:rPr>
        <w:t xml:space="preserve"> </w:t>
      </w:r>
      <w:r>
        <w:rPr>
          <w:rFonts w:ascii="Times New Roman" w:hAnsi="Times New Roman" w:cs="Times New Roman"/>
        </w:rPr>
        <w:t>да</w:t>
      </w:r>
      <w:r w:rsidRPr="006D7EE2">
        <w:rPr>
          <w:rFonts w:ascii="Times New Roman" w:hAnsi="Times New Roman" w:cs="Times New Roman"/>
        </w:rPr>
        <w:t xml:space="preserve">, </w:t>
      </w:r>
      <w:r>
        <w:rPr>
          <w:rFonts w:ascii="Times New Roman" w:hAnsi="Times New Roman" w:cs="Times New Roman"/>
        </w:rPr>
        <w:t>по</w:t>
      </w:r>
      <w:r w:rsidRPr="006D7EE2">
        <w:rPr>
          <w:rFonts w:ascii="Times New Roman" w:hAnsi="Times New Roman" w:cs="Times New Roman"/>
        </w:rPr>
        <w:t xml:space="preserve"> </w:t>
      </w:r>
      <w:r>
        <w:rPr>
          <w:rFonts w:ascii="Times New Roman" w:hAnsi="Times New Roman" w:cs="Times New Roman"/>
        </w:rPr>
        <w:t>пријему</w:t>
      </w:r>
      <w:r w:rsidRPr="006D7EE2">
        <w:rPr>
          <w:rFonts w:ascii="Times New Roman" w:hAnsi="Times New Roman" w:cs="Times New Roman"/>
        </w:rPr>
        <w:t xml:space="preserve"> </w:t>
      </w:r>
      <w:r>
        <w:rPr>
          <w:rFonts w:ascii="Times New Roman" w:hAnsi="Times New Roman" w:cs="Times New Roman"/>
        </w:rPr>
        <w:t>или</w:t>
      </w:r>
      <w:r w:rsidRPr="006D7EE2">
        <w:rPr>
          <w:rFonts w:ascii="Times New Roman" w:hAnsi="Times New Roman" w:cs="Times New Roman"/>
        </w:rPr>
        <w:t xml:space="preserve"> </w:t>
      </w:r>
      <w:r>
        <w:rPr>
          <w:rFonts w:ascii="Times New Roman" w:hAnsi="Times New Roman" w:cs="Times New Roman"/>
        </w:rPr>
        <w:t>изради</w:t>
      </w:r>
      <w:r w:rsidRPr="006D7EE2">
        <w:rPr>
          <w:rFonts w:ascii="Times New Roman" w:hAnsi="Times New Roman" w:cs="Times New Roman"/>
        </w:rPr>
        <w:t xml:space="preserve">, </w:t>
      </w:r>
      <w:r w:rsidR="00211AA1">
        <w:rPr>
          <w:rFonts w:ascii="Times New Roman" w:hAnsi="Times New Roman" w:cs="Times New Roman"/>
        </w:rPr>
        <w:t>достав</w:t>
      </w:r>
      <w:r w:rsidR="00211AA1">
        <w:rPr>
          <w:rFonts w:ascii="Times New Roman" w:hAnsi="Times New Roman" w:cs="Times New Roman"/>
          <w:lang w:val="sr-Cyrl-RS"/>
        </w:rPr>
        <w:t>и</w:t>
      </w:r>
      <w:r w:rsidRPr="006D7EE2">
        <w:rPr>
          <w:rFonts w:ascii="Times New Roman" w:hAnsi="Times New Roman" w:cs="Times New Roman"/>
        </w:rPr>
        <w:t xml:space="preserve"> </w:t>
      </w:r>
      <w:r>
        <w:rPr>
          <w:rFonts w:ascii="Times New Roman" w:hAnsi="Times New Roman" w:cs="Times New Roman"/>
        </w:rPr>
        <w:t>Агенцији</w:t>
      </w:r>
      <w:r w:rsidRPr="006D7EE2">
        <w:rPr>
          <w:rFonts w:ascii="Times New Roman" w:hAnsi="Times New Roman" w:cs="Times New Roman"/>
        </w:rPr>
        <w:t xml:space="preserve"> </w:t>
      </w:r>
      <w:r>
        <w:rPr>
          <w:rFonts w:ascii="Times New Roman" w:hAnsi="Times New Roman" w:cs="Times New Roman"/>
        </w:rPr>
        <w:t>за</w:t>
      </w:r>
      <w:r w:rsidRPr="006D7EE2">
        <w:rPr>
          <w:rFonts w:ascii="Times New Roman" w:hAnsi="Times New Roman" w:cs="Times New Roman"/>
        </w:rPr>
        <w:t xml:space="preserve"> </w:t>
      </w:r>
      <w:r>
        <w:rPr>
          <w:rFonts w:ascii="Times New Roman" w:hAnsi="Times New Roman" w:cs="Times New Roman"/>
        </w:rPr>
        <w:t>лиценцирање</w:t>
      </w:r>
      <w:r w:rsidRPr="006D7EE2">
        <w:rPr>
          <w:rFonts w:ascii="Times New Roman" w:hAnsi="Times New Roman" w:cs="Times New Roman"/>
        </w:rPr>
        <w:t xml:space="preserve"> </w:t>
      </w:r>
      <w:r>
        <w:rPr>
          <w:rFonts w:ascii="Times New Roman" w:hAnsi="Times New Roman" w:cs="Times New Roman"/>
        </w:rPr>
        <w:t>стечајних</w:t>
      </w:r>
      <w:r w:rsidRPr="006D7EE2">
        <w:rPr>
          <w:rFonts w:ascii="Times New Roman" w:hAnsi="Times New Roman" w:cs="Times New Roman"/>
        </w:rPr>
        <w:t xml:space="preserve"> </w:t>
      </w:r>
      <w:r>
        <w:rPr>
          <w:rFonts w:ascii="Times New Roman" w:hAnsi="Times New Roman" w:cs="Times New Roman"/>
        </w:rPr>
        <w:t>управника</w:t>
      </w:r>
      <w:r w:rsidR="003F5205">
        <w:rPr>
          <w:rFonts w:ascii="Times New Roman" w:hAnsi="Times New Roman" w:cs="Times New Roman"/>
          <w:lang w:val="sr-Cyrl-RS"/>
        </w:rPr>
        <w:t xml:space="preserve">. </w:t>
      </w:r>
      <w:r w:rsidR="00211AA1">
        <w:rPr>
          <w:rFonts w:ascii="Times New Roman" w:hAnsi="Times New Roman" w:cs="Times New Roman"/>
          <w:lang w:val="sr-Cyrl-RS"/>
        </w:rPr>
        <w:t xml:space="preserve"> </w:t>
      </w:r>
    </w:p>
    <w:p w:rsidR="00A55FEA" w:rsidRDefault="00A55FEA" w:rsidP="00097220">
      <w:pPr>
        <w:autoSpaceDE w:val="0"/>
        <w:autoSpaceDN w:val="0"/>
        <w:adjustRightInd w:val="0"/>
        <w:spacing w:after="0" w:line="240" w:lineRule="auto"/>
        <w:jc w:val="both"/>
        <w:rPr>
          <w:rFonts w:ascii="Times New Roman" w:hAnsi="Times New Roman" w:cs="Times New Roman"/>
          <w:lang w:val="sr-Cyrl-RS"/>
        </w:rPr>
      </w:pPr>
    </w:p>
    <w:p w:rsidR="00097220" w:rsidRPr="002A3077" w:rsidRDefault="00A55FEA" w:rsidP="00097220">
      <w:pPr>
        <w:autoSpaceDE w:val="0"/>
        <w:autoSpaceDN w:val="0"/>
        <w:adjustRightInd w:val="0"/>
        <w:spacing w:after="0" w:line="240" w:lineRule="auto"/>
        <w:jc w:val="both"/>
        <w:rPr>
          <w:rFonts w:ascii="Times New Roman" w:hAnsi="Times New Roman" w:cs="Times New Roman"/>
          <w:highlight w:val="yellow"/>
          <w:lang w:val="sr-Cyrl-RS"/>
        </w:rPr>
      </w:pPr>
      <w:r>
        <w:rPr>
          <w:rFonts w:ascii="Times New Roman" w:hAnsi="Times New Roman" w:cs="Times New Roman"/>
          <w:lang w:val="sr-Cyrl-RS"/>
        </w:rPr>
        <w:t>Сходно одредбама Закону о стечају и Националним стандардима за управљање стечајном масом, с</w:t>
      </w:r>
      <w:r w:rsidR="006072F8">
        <w:rPr>
          <w:rFonts w:ascii="Times New Roman" w:hAnsi="Times New Roman" w:cs="Times New Roman"/>
          <w:lang w:val="sr-Cyrl-RS"/>
        </w:rPr>
        <w:t>течајни управник израђује:</w:t>
      </w:r>
    </w:p>
    <w:p w:rsidR="00211AA1" w:rsidRPr="002A3077" w:rsidRDefault="00211AA1" w:rsidP="00097220">
      <w:pPr>
        <w:autoSpaceDE w:val="0"/>
        <w:autoSpaceDN w:val="0"/>
        <w:adjustRightInd w:val="0"/>
        <w:spacing w:after="0" w:line="240" w:lineRule="auto"/>
        <w:jc w:val="both"/>
        <w:rPr>
          <w:rFonts w:ascii="Times New Roman" w:hAnsi="Times New Roman" w:cs="Times New Roman"/>
          <w:highlight w:val="yellow"/>
          <w:lang w:val="sr-Cyrl-RS"/>
        </w:rPr>
      </w:pP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Извештај о раду привременог стечајног управника у претходном стечајном поступку, уколико је као мера обезбеђења одређено именовање привременог стечајног управника</w:t>
      </w:r>
      <w:r w:rsidR="0024774B">
        <w:rPr>
          <w:rFonts w:ascii="Times New Roman" w:hAnsi="Times New Roman" w:cs="Times New Roman"/>
          <w:lang w:val="sr-Cyrl-RS"/>
        </w:rPr>
        <w:t>;</w:t>
      </w:r>
      <w:r w:rsidRPr="004D3B7E">
        <w:rPr>
          <w:rFonts w:ascii="Times New Roman" w:hAnsi="Times New Roman" w:cs="Times New Roman"/>
        </w:rPr>
        <w:t xml:space="preserve"> </w:t>
      </w: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Почетни стечајни биланс са извештајем о економско финансијском</w:t>
      </w:r>
      <w:r w:rsidR="0024774B">
        <w:rPr>
          <w:rFonts w:ascii="Times New Roman" w:hAnsi="Times New Roman" w:cs="Times New Roman"/>
        </w:rPr>
        <w:t xml:space="preserve"> положају стечајног дужника</w:t>
      </w:r>
      <w:r w:rsidRPr="004D3B7E">
        <w:rPr>
          <w:rFonts w:ascii="Times New Roman" w:hAnsi="Times New Roman" w:cs="Times New Roman"/>
        </w:rPr>
        <w:t>;</w:t>
      </w: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Тромесечне извештаје о току стечајног поступка и стању сте</w:t>
      </w:r>
      <w:r w:rsidR="00937CF1">
        <w:rPr>
          <w:rFonts w:ascii="Times New Roman" w:hAnsi="Times New Roman" w:cs="Times New Roman"/>
        </w:rPr>
        <w:t>чајне масе</w:t>
      </w:r>
      <w:r w:rsidRPr="004D3B7E">
        <w:rPr>
          <w:rFonts w:ascii="Times New Roman" w:hAnsi="Times New Roman" w:cs="Times New Roman"/>
        </w:rPr>
        <w:t>;</w:t>
      </w: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Извештај разрешеног стечајног управника о току стечајног поступка и стању стечајне масе од дана отварања стечајног поступка до дана разрешења;</w:t>
      </w: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 xml:space="preserve">Обавештење о намери, плану, начину и роковима продаје имовине стечајног дужника и обавештење стечајног управника стечајном судији да </w:t>
      </w:r>
      <w:r w:rsidR="0024774B">
        <w:rPr>
          <w:rFonts w:ascii="Times New Roman" w:hAnsi="Times New Roman" w:cs="Times New Roman"/>
        </w:rPr>
        <w:t>се кварљива роба изложи продаји</w:t>
      </w:r>
      <w:r w:rsidRPr="004D3B7E">
        <w:rPr>
          <w:rFonts w:ascii="Times New Roman" w:hAnsi="Times New Roman" w:cs="Times New Roman"/>
        </w:rPr>
        <w:t>;</w:t>
      </w:r>
    </w:p>
    <w:p w:rsidR="00D42084" w:rsidRPr="007211F1"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Обавештење које по извршеној продаји стечајни управник доставља одбору поверилаца, а које садржи податке о продаји, усло</w:t>
      </w:r>
      <w:r w:rsidR="0024774B">
        <w:rPr>
          <w:rFonts w:ascii="Times New Roman" w:hAnsi="Times New Roman" w:cs="Times New Roman"/>
        </w:rPr>
        <w:t>вима продаје и постигнутој цени</w:t>
      </w:r>
      <w:r w:rsidRPr="004D3B7E">
        <w:rPr>
          <w:rFonts w:ascii="Times New Roman" w:hAnsi="Times New Roman" w:cs="Times New Roman"/>
        </w:rPr>
        <w:t>;</w:t>
      </w:r>
    </w:p>
    <w:p w:rsidR="007211F1" w:rsidRPr="004D3B7E" w:rsidRDefault="007211F1"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sr-Cyrl-RS"/>
        </w:rPr>
        <w:t>Листу признатих и оспорених потраживања стечајних и разлучних поверилаца;</w:t>
      </w:r>
    </w:p>
    <w:p w:rsidR="00700673" w:rsidRPr="004D3B7E" w:rsidRDefault="00AD1767"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lang w:val="sr-Cyrl-RS"/>
        </w:rPr>
        <w:t xml:space="preserve">Нацрт </w:t>
      </w:r>
      <w:r w:rsidR="00403679" w:rsidRPr="004D3B7E">
        <w:rPr>
          <w:rFonts w:ascii="Times New Roman" w:hAnsi="Times New Roman" w:cs="Times New Roman"/>
          <w:lang w:val="sr-Cyrl-RS"/>
        </w:rPr>
        <w:t xml:space="preserve">решења за главну, </w:t>
      </w:r>
      <w:r w:rsidRPr="004D3B7E">
        <w:rPr>
          <w:rFonts w:ascii="Times New Roman" w:hAnsi="Times New Roman" w:cs="Times New Roman"/>
          <w:lang w:val="sr-Cyrl-RS"/>
        </w:rPr>
        <w:t>делимичну деобу</w:t>
      </w:r>
      <w:r w:rsidR="0024774B">
        <w:rPr>
          <w:rFonts w:ascii="Times New Roman" w:hAnsi="Times New Roman" w:cs="Times New Roman"/>
          <w:lang w:val="sr-Cyrl-RS"/>
        </w:rPr>
        <w:t>, завршну и накнадну деобу;</w:t>
      </w:r>
    </w:p>
    <w:p w:rsidR="00D42084"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Обавештење о намирењу разлучних по</w:t>
      </w:r>
      <w:r w:rsidR="007211F1">
        <w:rPr>
          <w:rFonts w:ascii="Times New Roman" w:hAnsi="Times New Roman" w:cs="Times New Roman"/>
        </w:rPr>
        <w:t>верилаца са обрачуном у прилогу</w:t>
      </w:r>
      <w:r w:rsidRPr="004D3B7E">
        <w:rPr>
          <w:rFonts w:ascii="Times New Roman" w:hAnsi="Times New Roman" w:cs="Times New Roman"/>
        </w:rPr>
        <w:t>;</w:t>
      </w:r>
    </w:p>
    <w:p w:rsidR="004D3B7E"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lang w:val="sr-Cyrl-RS"/>
        </w:rPr>
      </w:pPr>
      <w:r w:rsidRPr="004D3B7E">
        <w:rPr>
          <w:rFonts w:ascii="Times New Roman" w:hAnsi="Times New Roman" w:cs="Times New Roman"/>
        </w:rPr>
        <w:t>Обавештење о прихватању захтева за излу</w:t>
      </w:r>
      <w:r w:rsidR="00E76320">
        <w:rPr>
          <w:rFonts w:ascii="Times New Roman" w:hAnsi="Times New Roman" w:cs="Times New Roman"/>
        </w:rPr>
        <w:t>чење са доказом о праву својине</w:t>
      </w:r>
      <w:r w:rsidRPr="004D3B7E">
        <w:rPr>
          <w:rFonts w:ascii="Times New Roman" w:hAnsi="Times New Roman" w:cs="Times New Roman"/>
        </w:rPr>
        <w:t>;</w:t>
      </w:r>
    </w:p>
    <w:p w:rsidR="004D3B7E" w:rsidRPr="004D3B7E" w:rsidRDefault="00700673" w:rsidP="004D3B7E">
      <w:pPr>
        <w:pStyle w:val="ListParagraph"/>
        <w:numPr>
          <w:ilvl w:val="0"/>
          <w:numId w:val="9"/>
        </w:numPr>
        <w:autoSpaceDE w:val="0"/>
        <w:autoSpaceDN w:val="0"/>
        <w:adjustRightInd w:val="0"/>
        <w:spacing w:after="0" w:line="240" w:lineRule="auto"/>
        <w:jc w:val="both"/>
        <w:rPr>
          <w:rFonts w:ascii="Times New Roman" w:hAnsi="Times New Roman" w:cs="Times New Roman"/>
          <w:lang w:val="sr-Cyrl-RS"/>
        </w:rPr>
      </w:pPr>
      <w:r w:rsidRPr="004D3B7E">
        <w:rPr>
          <w:rFonts w:ascii="Times New Roman" w:hAnsi="Times New Roman" w:cs="Times New Roman"/>
          <w:lang w:val="sr-Cyrl-RS"/>
        </w:rPr>
        <w:t>З</w:t>
      </w:r>
      <w:r w:rsidRPr="004D3B7E">
        <w:rPr>
          <w:rFonts w:ascii="Times New Roman" w:hAnsi="Times New Roman" w:cs="Times New Roman"/>
        </w:rPr>
        <w:t>авршн</w:t>
      </w:r>
      <w:r w:rsidRPr="004D3B7E">
        <w:rPr>
          <w:rFonts w:ascii="Times New Roman" w:hAnsi="Times New Roman" w:cs="Times New Roman"/>
          <w:lang w:val="sr-Cyrl-RS"/>
        </w:rPr>
        <w:t>и</w:t>
      </w:r>
      <w:r w:rsidR="004D3B7E" w:rsidRPr="004D3B7E">
        <w:rPr>
          <w:rFonts w:ascii="Times New Roman" w:hAnsi="Times New Roman" w:cs="Times New Roman"/>
        </w:rPr>
        <w:t xml:space="preserve"> рачун</w:t>
      </w:r>
      <w:r w:rsidR="00D42084" w:rsidRPr="004D3B7E">
        <w:rPr>
          <w:rFonts w:ascii="Times New Roman" w:hAnsi="Times New Roman" w:cs="Times New Roman"/>
        </w:rPr>
        <w:t>;</w:t>
      </w:r>
    </w:p>
    <w:p w:rsidR="00097220" w:rsidRPr="004D3B7E" w:rsidRDefault="00D42084" w:rsidP="004D3B7E">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4D3B7E">
        <w:rPr>
          <w:rFonts w:ascii="Times New Roman" w:hAnsi="Times New Roman" w:cs="Times New Roman"/>
        </w:rPr>
        <w:t>Ос</w:t>
      </w:r>
      <w:r w:rsidR="00836A24">
        <w:rPr>
          <w:rFonts w:ascii="Times New Roman" w:hAnsi="Times New Roman" w:cs="Times New Roman"/>
        </w:rPr>
        <w:t xml:space="preserve">талу документацију и </w:t>
      </w:r>
      <w:r w:rsidR="00836A24">
        <w:rPr>
          <w:rFonts w:ascii="Times New Roman" w:hAnsi="Times New Roman" w:cs="Times New Roman"/>
          <w:lang w:val="sr-Cyrl-RS"/>
        </w:rPr>
        <w:t>извештаје</w:t>
      </w:r>
      <w:r w:rsidR="004D3B7E" w:rsidRPr="004D3B7E">
        <w:rPr>
          <w:rFonts w:ascii="Times New Roman" w:hAnsi="Times New Roman" w:cs="Times New Roman"/>
          <w:lang w:val="sr-Cyrl-RS"/>
        </w:rPr>
        <w:t>.</w:t>
      </w:r>
      <w:r w:rsidRPr="004D3B7E">
        <w:rPr>
          <w:rFonts w:ascii="Times New Roman" w:hAnsi="Times New Roman" w:cs="Times New Roman"/>
          <w:highlight w:val="yellow"/>
        </w:rPr>
        <w:t xml:space="preserve"> </w:t>
      </w:r>
    </w:p>
    <w:p w:rsidR="00B364EC" w:rsidRDefault="00B364EC" w:rsidP="00912853">
      <w:pPr>
        <w:autoSpaceDE w:val="0"/>
        <w:autoSpaceDN w:val="0"/>
        <w:adjustRightInd w:val="0"/>
        <w:spacing w:after="0" w:line="240" w:lineRule="auto"/>
        <w:jc w:val="both"/>
        <w:rPr>
          <w:rFonts w:ascii="Times New Roman" w:hAnsi="Times New Roman" w:cs="Times New Roman"/>
          <w:lang w:val="sr-Cyrl-RS"/>
        </w:rPr>
      </w:pPr>
    </w:p>
    <w:p w:rsidR="000756D1" w:rsidRDefault="005C012C" w:rsidP="00912853">
      <w:pPr>
        <w:autoSpaceDE w:val="0"/>
        <w:autoSpaceDN w:val="0"/>
        <w:adjustRightInd w:val="0"/>
        <w:spacing w:after="0" w:line="240" w:lineRule="auto"/>
        <w:jc w:val="both"/>
        <w:rPr>
          <w:rFonts w:ascii="Times New Roman" w:hAnsi="Times New Roman" w:cs="Times New Roman"/>
          <w:lang w:val="sr-Cyrl-RS"/>
        </w:rPr>
      </w:pPr>
      <w:r w:rsidRPr="002430E1">
        <w:rPr>
          <w:rFonts w:ascii="Times New Roman" w:hAnsi="Times New Roman" w:cs="Times New Roman"/>
          <w:lang w:val="sr-Cyrl-RS"/>
        </w:rPr>
        <w:lastRenderedPageBreak/>
        <w:t>Извештаји које израђује стечајни управник морају бити прецизни, потпуни и са додатним објашњењима, уколико је то потребно, како би повериоци и заинтересована лица имали јасну слику о променама и предузетим активностима у току стечајног поступка.</w:t>
      </w:r>
      <w:r w:rsidR="004A61E6">
        <w:rPr>
          <w:rFonts w:ascii="Times New Roman" w:hAnsi="Times New Roman" w:cs="Times New Roman"/>
          <w:lang w:val="sr-Cyrl-RS"/>
        </w:rPr>
        <w:t xml:space="preserve"> </w:t>
      </w:r>
    </w:p>
    <w:p w:rsidR="00B364EC" w:rsidRDefault="00B364EC" w:rsidP="00AC4DB4">
      <w:pPr>
        <w:spacing w:after="0" w:line="240" w:lineRule="auto"/>
        <w:jc w:val="center"/>
        <w:rPr>
          <w:rFonts w:ascii="Times New Roman" w:hAnsi="Times New Roman" w:cs="Times New Roman"/>
          <w:b/>
          <w:lang w:val="sr-Cyrl-RS"/>
        </w:rPr>
      </w:pPr>
    </w:p>
    <w:p w:rsidR="004A61E6" w:rsidRDefault="004A61E6" w:rsidP="00AC4DB4">
      <w:pPr>
        <w:spacing w:after="0" w:line="240" w:lineRule="auto"/>
        <w:jc w:val="center"/>
        <w:rPr>
          <w:rFonts w:ascii="Times New Roman" w:hAnsi="Times New Roman" w:cs="Times New Roman"/>
          <w:b/>
          <w:lang w:val="sr-Cyrl-RS"/>
        </w:rPr>
      </w:pPr>
    </w:p>
    <w:p w:rsidR="00AC4DB4" w:rsidRDefault="00AC4DB4" w:rsidP="00AC4DB4">
      <w:pPr>
        <w:spacing w:after="0" w:line="240" w:lineRule="auto"/>
        <w:jc w:val="center"/>
        <w:rPr>
          <w:rFonts w:ascii="Times New Roman" w:hAnsi="Times New Roman" w:cs="Times New Roman"/>
          <w:b/>
          <w:lang w:val="sr-Cyrl-RS"/>
        </w:rPr>
      </w:pPr>
      <w:r w:rsidRPr="00AC4DB4">
        <w:rPr>
          <w:rFonts w:ascii="Times New Roman" w:hAnsi="Times New Roman" w:cs="Times New Roman"/>
          <w:b/>
        </w:rPr>
        <w:t xml:space="preserve">Почетни стечајни биланс </w:t>
      </w:r>
    </w:p>
    <w:p w:rsidR="003F6E9B" w:rsidRDefault="00AC4DB4" w:rsidP="00AC4DB4">
      <w:pPr>
        <w:spacing w:after="0" w:line="240" w:lineRule="auto"/>
        <w:jc w:val="center"/>
        <w:rPr>
          <w:rFonts w:ascii="Times New Roman" w:hAnsi="Times New Roman" w:cs="Times New Roman"/>
          <w:b/>
          <w:lang w:val="sr-Cyrl-RS"/>
        </w:rPr>
      </w:pPr>
      <w:r w:rsidRPr="00AC4DB4">
        <w:rPr>
          <w:rFonts w:ascii="Times New Roman" w:hAnsi="Times New Roman" w:cs="Times New Roman"/>
          <w:b/>
        </w:rPr>
        <w:t>са извештајем о економско финансијском положају стечајног дужника</w:t>
      </w:r>
    </w:p>
    <w:p w:rsidR="00AC4DB4" w:rsidRPr="00C818F5" w:rsidRDefault="005F6681" w:rsidP="00AC4DB4">
      <w:pPr>
        <w:spacing w:after="0" w:line="240" w:lineRule="auto"/>
        <w:jc w:val="center"/>
        <w:rPr>
          <w:rFonts w:ascii="Times New Roman" w:hAnsi="Times New Roman" w:cs="Times New Roman"/>
          <w:lang w:val="sr-Cyrl-RS"/>
        </w:rPr>
      </w:pPr>
      <w:r w:rsidRPr="00AA04AA">
        <w:rPr>
          <w:rFonts w:ascii="Times New Roman" w:hAnsi="Times New Roman" w:cs="Times New Roman"/>
          <w:lang w:val="sr-Cyrl-RS"/>
        </w:rPr>
        <w:t xml:space="preserve">(члан 109. Закона о стечају и </w:t>
      </w:r>
      <w:r w:rsidRPr="00C818F5">
        <w:rPr>
          <w:rFonts w:ascii="Times New Roman" w:hAnsi="Times New Roman" w:cs="Times New Roman"/>
          <w:lang w:val="sr-Cyrl-RS"/>
        </w:rPr>
        <w:t>Национални стандард</w:t>
      </w:r>
      <w:r w:rsidR="00545675" w:rsidRPr="00C818F5">
        <w:rPr>
          <w:rFonts w:ascii="Times New Roman" w:hAnsi="Times New Roman" w:cs="Times New Roman"/>
          <w:lang w:val="sr-Cyrl-RS"/>
        </w:rPr>
        <w:t>и</w:t>
      </w:r>
      <w:r w:rsidRPr="00C818F5">
        <w:rPr>
          <w:rFonts w:ascii="Times New Roman" w:hAnsi="Times New Roman" w:cs="Times New Roman"/>
          <w:lang w:val="sr-Cyrl-RS"/>
        </w:rPr>
        <w:t xml:space="preserve"> број</w:t>
      </w:r>
      <w:r w:rsidR="00545675" w:rsidRPr="00C818F5">
        <w:rPr>
          <w:rFonts w:ascii="Times New Roman" w:hAnsi="Times New Roman" w:cs="Times New Roman"/>
          <w:lang w:val="sr-Cyrl-RS"/>
        </w:rPr>
        <w:t xml:space="preserve"> 2 и 3</w:t>
      </w:r>
      <w:r w:rsidRPr="00C818F5">
        <w:rPr>
          <w:rFonts w:ascii="Times New Roman" w:hAnsi="Times New Roman" w:cs="Times New Roman"/>
          <w:lang w:val="sr-Cyrl-RS"/>
        </w:rPr>
        <w:t xml:space="preserve"> </w:t>
      </w:r>
      <w:r w:rsidR="000854FE" w:rsidRPr="00C818F5">
        <w:rPr>
          <w:rFonts w:ascii="Times New Roman" w:hAnsi="Times New Roman" w:cs="Times New Roman"/>
          <w:lang w:val="sr-Cyrl-RS"/>
        </w:rPr>
        <w:t>)</w:t>
      </w:r>
    </w:p>
    <w:p w:rsidR="00AC4DB4" w:rsidRDefault="00AC4DB4" w:rsidP="00AC4DB4">
      <w:pPr>
        <w:spacing w:after="0" w:line="240" w:lineRule="auto"/>
        <w:jc w:val="both"/>
        <w:rPr>
          <w:rFonts w:ascii="Times New Roman" w:hAnsi="Times New Roman" w:cs="Times New Roman"/>
          <w:b/>
          <w:sz w:val="24"/>
          <w:szCs w:val="24"/>
          <w:lang w:val="sr-Cyrl-RS"/>
        </w:rPr>
      </w:pPr>
    </w:p>
    <w:p w:rsidR="002430E1" w:rsidRPr="00261E11" w:rsidRDefault="002430E1" w:rsidP="002430E1">
      <w:pPr>
        <w:spacing w:after="0" w:line="240" w:lineRule="auto"/>
        <w:jc w:val="both"/>
        <w:rPr>
          <w:rFonts w:ascii="Times New Roman" w:hAnsi="Times New Roman" w:cs="Times New Roman"/>
          <w:lang w:val="sr-Cyrl-RS"/>
        </w:rPr>
      </w:pPr>
      <w:r w:rsidRPr="002430E1">
        <w:rPr>
          <w:rFonts w:ascii="Times New Roman" w:hAnsi="Times New Roman" w:cs="Times New Roman"/>
          <w:lang w:val="sr-Cyrl-RS"/>
        </w:rPr>
        <w:t>Након доношења решења о отварању стеча</w:t>
      </w:r>
      <w:r w:rsidR="0020631E">
        <w:rPr>
          <w:rFonts w:ascii="Times New Roman" w:hAnsi="Times New Roman" w:cs="Times New Roman"/>
          <w:lang w:val="sr-Cyrl-RS"/>
        </w:rPr>
        <w:t>јног поступка, стечајни управни</w:t>
      </w:r>
      <w:r w:rsidR="00BC726A">
        <w:rPr>
          <w:rFonts w:ascii="Times New Roman" w:hAnsi="Times New Roman" w:cs="Times New Roman"/>
          <w:lang w:val="sr-Cyrl-RS"/>
        </w:rPr>
        <w:t>к</w:t>
      </w:r>
      <w:r w:rsidRPr="002430E1">
        <w:rPr>
          <w:rFonts w:ascii="Times New Roman" w:hAnsi="Times New Roman" w:cs="Times New Roman"/>
          <w:lang w:val="sr-Cyrl-RS"/>
        </w:rPr>
        <w:t xml:space="preserve"> израђује</w:t>
      </w:r>
      <w:r>
        <w:rPr>
          <w:rFonts w:ascii="Times New Roman" w:hAnsi="Times New Roman" w:cs="Times New Roman"/>
          <w:lang w:val="sr-Cyrl-RS"/>
        </w:rPr>
        <w:t xml:space="preserve"> </w:t>
      </w:r>
      <w:r w:rsidRPr="002430E1">
        <w:rPr>
          <w:rFonts w:ascii="Times New Roman" w:hAnsi="Times New Roman" w:cs="Times New Roman"/>
          <w:lang w:val="sr-Cyrl-RS"/>
        </w:rPr>
        <w:t>потпун и свеобухватан попис имовине стечајног дужника,</w:t>
      </w:r>
      <w:r>
        <w:rPr>
          <w:rFonts w:ascii="Times New Roman" w:hAnsi="Times New Roman" w:cs="Times New Roman"/>
          <w:lang w:val="sr-Cyrl-RS"/>
        </w:rPr>
        <w:t xml:space="preserve"> </w:t>
      </w:r>
      <w:r w:rsidRPr="002430E1">
        <w:rPr>
          <w:rFonts w:ascii="Times New Roman" w:hAnsi="Times New Roman" w:cs="Times New Roman"/>
          <w:lang w:val="sr-Cyrl-RS"/>
        </w:rPr>
        <w:t>листу дужника и листу поверилаца стечајног дужника</w:t>
      </w:r>
      <w:r>
        <w:rPr>
          <w:rFonts w:ascii="Times New Roman" w:hAnsi="Times New Roman" w:cs="Times New Roman"/>
          <w:lang w:val="sr-Cyrl-RS"/>
        </w:rPr>
        <w:t xml:space="preserve"> и </w:t>
      </w:r>
      <w:r w:rsidRPr="002430E1">
        <w:rPr>
          <w:rFonts w:ascii="Times New Roman" w:hAnsi="Times New Roman" w:cs="Times New Roman"/>
          <w:lang w:val="sr-Cyrl-RS"/>
        </w:rPr>
        <w:t>процењује вредност имовине стечајног дужника,</w:t>
      </w:r>
      <w:r>
        <w:rPr>
          <w:rFonts w:ascii="Times New Roman" w:hAnsi="Times New Roman" w:cs="Times New Roman"/>
          <w:lang w:val="sr-Cyrl-RS"/>
        </w:rPr>
        <w:t xml:space="preserve"> како би сачинио </w:t>
      </w:r>
      <w:r w:rsidR="002A4C45">
        <w:rPr>
          <w:rFonts w:ascii="Times New Roman" w:hAnsi="Times New Roman" w:cs="Times New Roman"/>
          <w:lang w:val="sr-Cyrl-RS"/>
        </w:rPr>
        <w:t xml:space="preserve">почетни стечајни биланс и </w:t>
      </w:r>
      <w:r>
        <w:rPr>
          <w:rFonts w:ascii="Times New Roman" w:hAnsi="Times New Roman" w:cs="Times New Roman"/>
          <w:lang w:val="sr-Cyrl-RS"/>
        </w:rPr>
        <w:t xml:space="preserve">извештај </w:t>
      </w:r>
      <w:r w:rsidRPr="002430E1">
        <w:rPr>
          <w:rFonts w:ascii="Times New Roman" w:hAnsi="Times New Roman" w:cs="Times New Roman"/>
        </w:rPr>
        <w:t>о економско финансијском положају стечајног дужника</w:t>
      </w:r>
      <w:r>
        <w:rPr>
          <w:rFonts w:ascii="Times New Roman" w:hAnsi="Times New Roman" w:cs="Times New Roman"/>
          <w:lang w:val="sr-Cyrl-RS"/>
        </w:rPr>
        <w:t xml:space="preserve">, а који извештај стечајни управник </w:t>
      </w:r>
      <w:r w:rsidR="00261E11">
        <w:rPr>
          <w:rFonts w:ascii="Times New Roman" w:hAnsi="Times New Roman" w:cs="Times New Roman"/>
          <w:lang w:val="sr-Cyrl-RS"/>
        </w:rPr>
        <w:t xml:space="preserve">припрема </w:t>
      </w:r>
      <w:r w:rsidRPr="00261E11">
        <w:rPr>
          <w:rFonts w:ascii="Times New Roman" w:hAnsi="Times New Roman" w:cs="Times New Roman"/>
          <w:lang w:val="sr-Cyrl-RS"/>
        </w:rPr>
        <w:t>за потребе одржавања</w:t>
      </w:r>
      <w:r w:rsidR="00261E11" w:rsidRPr="00261E11">
        <w:rPr>
          <w:rFonts w:ascii="Times New Roman" w:hAnsi="Times New Roman" w:cs="Times New Roman"/>
          <w:lang w:val="sr-Cyrl-RS"/>
        </w:rPr>
        <w:t xml:space="preserve"> првог поверилачког рочишта</w:t>
      </w:r>
      <w:r w:rsidRPr="00261E11">
        <w:rPr>
          <w:rFonts w:ascii="Times New Roman" w:hAnsi="Times New Roman" w:cs="Times New Roman"/>
        </w:rPr>
        <w:t>. </w:t>
      </w:r>
    </w:p>
    <w:p w:rsidR="002430E1" w:rsidRDefault="002430E1" w:rsidP="002430E1">
      <w:pPr>
        <w:spacing w:after="0" w:line="240" w:lineRule="auto"/>
        <w:jc w:val="both"/>
        <w:rPr>
          <w:lang w:val="sr-Cyrl-RS"/>
        </w:rPr>
      </w:pPr>
    </w:p>
    <w:p w:rsidR="00251D62" w:rsidRDefault="00E34380" w:rsidP="00251D62">
      <w:pPr>
        <w:spacing w:after="0" w:line="240" w:lineRule="auto"/>
        <w:jc w:val="both"/>
        <w:rPr>
          <w:rFonts w:ascii="Times New Roman" w:hAnsi="Times New Roman" w:cs="Times New Roman"/>
          <w:color w:val="000000" w:themeColor="text1"/>
          <w:lang w:val="sr-Cyrl-RS"/>
        </w:rPr>
      </w:pPr>
      <w:r w:rsidRPr="00BD0EE9">
        <w:rPr>
          <w:rFonts w:ascii="Times New Roman" w:hAnsi="Times New Roman" w:cs="Times New Roman"/>
          <w:color w:val="000000" w:themeColor="text1"/>
          <w:lang w:val="sr-Cyrl-RS"/>
        </w:rPr>
        <w:t xml:space="preserve">Извештај обухвата информације о економско-финансијском стању стечајног дужника на дан отварања стечајног поступка на основу којих стечајни повериоци одлучују о начину спровођења стечајног поступка. </w:t>
      </w:r>
      <w:r w:rsidR="00251D62">
        <w:rPr>
          <w:rFonts w:ascii="Times New Roman" w:hAnsi="Times New Roman" w:cs="Times New Roman"/>
          <w:color w:val="000000" w:themeColor="text1"/>
          <w:lang w:val="sr-Cyrl-RS"/>
        </w:rPr>
        <w:t>И</w:t>
      </w:r>
      <w:r w:rsidR="00251D62" w:rsidRPr="00BD0EE9">
        <w:rPr>
          <w:rFonts w:ascii="Times New Roman" w:hAnsi="Times New Roman" w:cs="Times New Roman"/>
          <w:color w:val="000000" w:themeColor="text1"/>
          <w:lang w:val="sr-Cyrl-RS"/>
        </w:rPr>
        <w:t xml:space="preserve">звештај израђује </w:t>
      </w:r>
      <w:r w:rsidR="00251D62">
        <w:rPr>
          <w:rFonts w:ascii="Times New Roman" w:hAnsi="Times New Roman" w:cs="Times New Roman"/>
          <w:color w:val="000000" w:themeColor="text1"/>
          <w:lang w:val="sr-Cyrl-RS"/>
        </w:rPr>
        <w:t>с</w:t>
      </w:r>
      <w:r w:rsidRPr="00BD0EE9">
        <w:rPr>
          <w:rFonts w:ascii="Times New Roman" w:hAnsi="Times New Roman" w:cs="Times New Roman"/>
          <w:color w:val="000000" w:themeColor="text1"/>
          <w:lang w:val="sr-Cyrl-RS"/>
        </w:rPr>
        <w:t>течајни управник и одговоран је за тачност и</w:t>
      </w:r>
      <w:r w:rsidR="00BC726A">
        <w:rPr>
          <w:rFonts w:ascii="Times New Roman" w:hAnsi="Times New Roman" w:cs="Times New Roman"/>
          <w:color w:val="000000" w:themeColor="text1"/>
          <w:lang w:val="sr-Cyrl-RS"/>
        </w:rPr>
        <w:t xml:space="preserve"> свеобухватност унетих података и исти сачињава </w:t>
      </w:r>
      <w:r w:rsidRPr="00BD0EE9">
        <w:rPr>
          <w:rFonts w:ascii="Times New Roman" w:hAnsi="Times New Roman" w:cs="Times New Roman"/>
          <w:color w:val="000000" w:themeColor="text1"/>
          <w:lang w:val="sr-Cyrl-RS"/>
        </w:rPr>
        <w:t>на основу свих расположивих информација којима располаже у моменту израде извештаја.</w:t>
      </w:r>
      <w:r w:rsidR="002A4C45">
        <w:rPr>
          <w:rFonts w:ascii="Times New Roman" w:hAnsi="Times New Roman" w:cs="Times New Roman"/>
          <w:color w:val="000000" w:themeColor="text1"/>
          <w:lang w:val="sr-Cyrl-RS"/>
        </w:rPr>
        <w:t xml:space="preserve"> </w:t>
      </w:r>
    </w:p>
    <w:p w:rsidR="00251D62" w:rsidRDefault="00251D62" w:rsidP="00251D62">
      <w:pPr>
        <w:spacing w:after="0" w:line="240" w:lineRule="auto"/>
        <w:jc w:val="both"/>
        <w:rPr>
          <w:rFonts w:ascii="Times New Roman" w:hAnsi="Times New Roman" w:cs="Times New Roman"/>
          <w:color w:val="000000" w:themeColor="text1"/>
          <w:lang w:val="sr-Cyrl-RS"/>
        </w:rPr>
      </w:pPr>
    </w:p>
    <w:p w:rsidR="00251D62" w:rsidRDefault="00D103E1" w:rsidP="00251D62">
      <w:pPr>
        <w:spacing w:after="0" w:line="240" w:lineRule="auto"/>
        <w:jc w:val="both"/>
        <w:rPr>
          <w:rFonts w:ascii="Times New Roman" w:eastAsiaTheme="minorEastAsia" w:hAnsi="Times New Roman" w:cs="Times New Roman"/>
          <w:color w:val="000000" w:themeColor="text1"/>
          <w:kern w:val="24"/>
        </w:rPr>
      </w:pPr>
      <w:r>
        <w:rPr>
          <w:rFonts w:ascii="Times New Roman" w:hAnsi="Times New Roman" w:cs="Times New Roman"/>
          <w:color w:val="000000" w:themeColor="text1"/>
          <w:lang w:val="sr-Cyrl-RS"/>
        </w:rPr>
        <w:t>Почетни стечајни биланс са</w:t>
      </w:r>
      <w:r w:rsidR="002A4C45">
        <w:rPr>
          <w:rFonts w:ascii="Times New Roman" w:hAnsi="Times New Roman" w:cs="Times New Roman"/>
          <w:color w:val="000000" w:themeColor="text1"/>
          <w:lang w:val="sr-Cyrl-RS"/>
        </w:rPr>
        <w:t xml:space="preserve"> </w:t>
      </w:r>
      <w:r w:rsidR="002A4C45">
        <w:rPr>
          <w:rFonts w:ascii="Times New Roman" w:hAnsi="Times New Roman" w:cs="Times New Roman"/>
          <w:lang w:val="sr-Cyrl-RS"/>
        </w:rPr>
        <w:t>извештај</w:t>
      </w:r>
      <w:r>
        <w:rPr>
          <w:rFonts w:ascii="Times New Roman" w:hAnsi="Times New Roman" w:cs="Times New Roman"/>
          <w:lang w:val="sr-Cyrl-RS"/>
        </w:rPr>
        <w:t>ем</w:t>
      </w:r>
      <w:r w:rsidR="002A4C45">
        <w:rPr>
          <w:rFonts w:ascii="Times New Roman" w:hAnsi="Times New Roman" w:cs="Times New Roman"/>
          <w:lang w:val="sr-Cyrl-RS"/>
        </w:rPr>
        <w:t xml:space="preserve"> </w:t>
      </w:r>
      <w:r w:rsidR="002A4C45" w:rsidRPr="002430E1">
        <w:rPr>
          <w:rFonts w:ascii="Times New Roman" w:hAnsi="Times New Roman" w:cs="Times New Roman"/>
        </w:rPr>
        <w:t>о економско финансијском положају стечајног дужника</w:t>
      </w:r>
      <w:r w:rsidR="00E76320">
        <w:rPr>
          <w:rFonts w:ascii="Times New Roman" w:hAnsi="Times New Roman" w:cs="Times New Roman"/>
          <w:lang w:val="sr-Cyrl-RS"/>
        </w:rPr>
        <w:t xml:space="preserve"> повериоцима олакшава</w:t>
      </w:r>
      <w:r w:rsidR="002A4C45">
        <w:rPr>
          <w:rFonts w:ascii="Times New Roman" w:hAnsi="Times New Roman" w:cs="Times New Roman"/>
          <w:lang w:val="sr-Cyrl-RS"/>
        </w:rPr>
        <w:t xml:space="preserve"> процену могућности намирења потраживања</w:t>
      </w:r>
      <w:r w:rsidR="00904F1E" w:rsidRPr="00904F1E">
        <w:rPr>
          <w:rFonts w:ascii="Times New Roman" w:hAnsi="Times New Roman" w:cs="Times New Roman"/>
          <w:lang w:val="sr-Cyrl-RS"/>
        </w:rPr>
        <w:t xml:space="preserve"> </w:t>
      </w:r>
      <w:r w:rsidR="00904F1E">
        <w:rPr>
          <w:rFonts w:ascii="Times New Roman" w:hAnsi="Times New Roman" w:cs="Times New Roman"/>
          <w:lang w:val="sr-Cyrl-RS"/>
        </w:rPr>
        <w:t>и</w:t>
      </w:r>
      <w:r w:rsidR="002A4C45">
        <w:rPr>
          <w:rFonts w:ascii="Times New Roman" w:hAnsi="Times New Roman" w:cs="Times New Roman"/>
          <w:lang w:val="sr-Cyrl-RS"/>
        </w:rPr>
        <w:t xml:space="preserve"> </w:t>
      </w:r>
      <w:r w:rsidR="00904F1E">
        <w:rPr>
          <w:rFonts w:ascii="Times New Roman" w:hAnsi="Times New Roman" w:cs="Times New Roman"/>
          <w:lang w:val="sr-Cyrl-RS"/>
        </w:rPr>
        <w:t>дају почетну слику стечаја.</w:t>
      </w:r>
      <w:r w:rsidR="002A4C45">
        <w:rPr>
          <w:rFonts w:ascii="Times New Roman" w:hAnsi="Times New Roman" w:cs="Times New Roman"/>
          <w:lang w:val="sr-Cyrl-RS"/>
        </w:rPr>
        <w:t xml:space="preserve"> </w:t>
      </w:r>
      <w:r w:rsidR="00251D62" w:rsidRPr="00251D62">
        <w:rPr>
          <w:rFonts w:ascii="Times New Roman" w:eastAsiaTheme="minorEastAsia" w:hAnsi="Times New Roman" w:cs="Times New Roman"/>
          <w:color w:val="000000" w:themeColor="text1"/>
          <w:kern w:val="24"/>
          <w:lang w:val="ru-RU"/>
        </w:rPr>
        <w:t xml:space="preserve">Сачињава се на основу </w:t>
      </w:r>
      <w:r w:rsidR="00251D62" w:rsidRPr="00E76320">
        <w:rPr>
          <w:rFonts w:ascii="Times New Roman" w:eastAsiaTheme="minorEastAsia" w:hAnsi="Times New Roman" w:cs="Times New Roman"/>
          <w:color w:val="000000" w:themeColor="text1"/>
          <w:kern w:val="24"/>
          <w:lang w:val="ru-RU"/>
        </w:rPr>
        <w:t>процене</w:t>
      </w:r>
      <w:r w:rsidR="00251D62" w:rsidRPr="00251D62">
        <w:rPr>
          <w:rFonts w:ascii="Times New Roman" w:eastAsiaTheme="minorEastAsia" w:hAnsi="Times New Roman" w:cs="Times New Roman"/>
          <w:color w:val="000000" w:themeColor="text1"/>
          <w:kern w:val="24"/>
          <w:lang w:val="ru-RU"/>
        </w:rPr>
        <w:t xml:space="preserve"> целокупне пописане имовине стечајног дужника и њихових обавеза на дан отварања стечајног поступка</w:t>
      </w:r>
      <w:r w:rsidR="00E76320">
        <w:rPr>
          <w:rFonts w:ascii="Times New Roman" w:eastAsiaTheme="minorEastAsia" w:hAnsi="Times New Roman" w:cs="Times New Roman"/>
          <w:color w:val="000000" w:themeColor="text1"/>
          <w:kern w:val="24"/>
          <w:lang w:val="ru-RU"/>
        </w:rPr>
        <w:t>,</w:t>
      </w:r>
      <w:r w:rsidR="00251D62" w:rsidRPr="00251D62">
        <w:rPr>
          <w:rFonts w:ascii="Times New Roman" w:eastAsiaTheme="minorEastAsia" w:hAnsi="Times New Roman" w:cs="Times New Roman"/>
          <w:color w:val="000000" w:themeColor="text1"/>
          <w:kern w:val="24"/>
          <w:lang w:val="ru-RU"/>
        </w:rPr>
        <w:t xml:space="preserve"> као и предрачуна трошкова стечајног п</w:t>
      </w:r>
      <w:r w:rsidR="00251D62">
        <w:rPr>
          <w:rFonts w:ascii="Times New Roman" w:eastAsiaTheme="minorEastAsia" w:hAnsi="Times New Roman" w:cs="Times New Roman"/>
          <w:color w:val="000000" w:themeColor="text1"/>
          <w:kern w:val="24"/>
          <w:lang w:val="ru-RU"/>
        </w:rPr>
        <w:t>оступка и обавеза стечајне масе, с тим да се п</w:t>
      </w:r>
      <w:r w:rsidR="00251D62" w:rsidRPr="00251D62">
        <w:rPr>
          <w:rFonts w:ascii="Times New Roman" w:eastAsiaTheme="minorEastAsia" w:hAnsi="Times New Roman" w:cs="Times New Roman"/>
          <w:color w:val="000000" w:themeColor="text1"/>
          <w:kern w:val="24"/>
          <w:lang w:val="ru-RU"/>
        </w:rPr>
        <w:t>отраживања разл</w:t>
      </w:r>
      <w:r w:rsidR="00251D62">
        <w:rPr>
          <w:rFonts w:ascii="Times New Roman" w:eastAsiaTheme="minorEastAsia" w:hAnsi="Times New Roman" w:cs="Times New Roman"/>
          <w:color w:val="000000" w:themeColor="text1"/>
          <w:kern w:val="24"/>
          <w:lang w:val="ru-RU"/>
        </w:rPr>
        <w:t xml:space="preserve">учних поверилаца не укључују </w:t>
      </w:r>
      <w:r w:rsidR="00251D62" w:rsidRPr="00251D62">
        <w:rPr>
          <w:rFonts w:ascii="Times New Roman" w:eastAsiaTheme="minorEastAsia" w:hAnsi="Times New Roman" w:cs="Times New Roman"/>
          <w:color w:val="000000" w:themeColor="text1"/>
          <w:kern w:val="24"/>
          <w:lang w:val="ru-RU"/>
        </w:rPr>
        <w:t>у укупну суму потраживања</w:t>
      </w:r>
      <w:r w:rsidR="00251D62">
        <w:rPr>
          <w:rFonts w:ascii="Times New Roman" w:eastAsiaTheme="minorEastAsia" w:hAnsi="Times New Roman" w:cs="Times New Roman"/>
          <w:color w:val="000000" w:themeColor="text1"/>
          <w:kern w:val="24"/>
          <w:lang w:val="ru-RU"/>
        </w:rPr>
        <w:t>.</w:t>
      </w:r>
    </w:p>
    <w:p w:rsidR="004A2118" w:rsidRPr="004A2118" w:rsidRDefault="004A2118" w:rsidP="00251D62">
      <w:pPr>
        <w:spacing w:after="0" w:line="240" w:lineRule="auto"/>
        <w:jc w:val="both"/>
        <w:rPr>
          <w:rFonts w:ascii="Times New Roman" w:eastAsiaTheme="minorEastAsia" w:hAnsi="Times New Roman" w:cs="Times New Roman"/>
          <w:color w:val="000000" w:themeColor="text1"/>
          <w:kern w:val="24"/>
        </w:rPr>
      </w:pPr>
    </w:p>
    <w:p w:rsidR="005233F7" w:rsidRDefault="00860B47" w:rsidP="00251D62">
      <w:pPr>
        <w:spacing w:after="0" w:line="240" w:lineRule="auto"/>
        <w:jc w:val="both"/>
        <w:rPr>
          <w:rFonts w:ascii="Times New Roman" w:eastAsia="Times New Roman" w:hAnsi="Times New Roman" w:cs="Times New Roman"/>
          <w:color w:val="000000" w:themeColor="text1"/>
          <w:lang w:val="sr-Cyrl-CS"/>
        </w:rPr>
      </w:pPr>
      <w:r w:rsidRPr="00860B47">
        <w:rPr>
          <w:rFonts w:ascii="Times New Roman" w:eastAsiaTheme="minorEastAsia" w:hAnsi="Times New Roman" w:cs="Times New Roman"/>
          <w:color w:val="000000" w:themeColor="text1"/>
          <w:kern w:val="24"/>
          <w:lang w:val="ru-RU"/>
        </w:rPr>
        <w:t xml:space="preserve">Стечајни управник </w:t>
      </w:r>
      <w:r>
        <w:rPr>
          <w:rFonts w:ascii="Times New Roman" w:eastAsiaTheme="minorEastAsia" w:hAnsi="Times New Roman" w:cs="Times New Roman"/>
          <w:color w:val="000000" w:themeColor="text1"/>
          <w:kern w:val="24"/>
          <w:lang w:val="ru-RU"/>
        </w:rPr>
        <w:t xml:space="preserve">већ </w:t>
      </w:r>
      <w:r w:rsidRPr="00860B47">
        <w:rPr>
          <w:rFonts w:ascii="Times New Roman" w:eastAsiaTheme="minorEastAsia" w:hAnsi="Times New Roman" w:cs="Times New Roman"/>
          <w:color w:val="000000" w:themeColor="text1"/>
          <w:kern w:val="24"/>
          <w:lang w:val="ru-RU"/>
        </w:rPr>
        <w:t>прил</w:t>
      </w:r>
      <w:r w:rsidR="00ED757B">
        <w:rPr>
          <w:rFonts w:ascii="Times New Roman" w:eastAsiaTheme="minorEastAsia" w:hAnsi="Times New Roman" w:cs="Times New Roman"/>
          <w:color w:val="000000" w:themeColor="text1"/>
          <w:kern w:val="24"/>
          <w:lang w:val="ru-RU"/>
        </w:rPr>
        <w:t xml:space="preserve">иком пописа имовине врши </w:t>
      </w:r>
      <w:r w:rsidRPr="00860B47">
        <w:rPr>
          <w:rFonts w:ascii="Times New Roman" w:eastAsiaTheme="minorEastAsia" w:hAnsi="Times New Roman" w:cs="Times New Roman"/>
          <w:color w:val="000000" w:themeColor="text1"/>
          <w:kern w:val="24"/>
          <w:lang w:val="ru-RU"/>
        </w:rPr>
        <w:t>процену ликвидационе вредности сваког појединачног дела имовине</w:t>
      </w:r>
      <w:r>
        <w:rPr>
          <w:rFonts w:ascii="Times New Roman" w:eastAsiaTheme="minorEastAsia" w:hAnsi="Times New Roman" w:cs="Times New Roman"/>
          <w:color w:val="000000" w:themeColor="text1"/>
          <w:kern w:val="24"/>
          <w:lang w:val="ru-RU"/>
        </w:rPr>
        <w:t xml:space="preserve">. </w:t>
      </w:r>
      <w:r w:rsidR="00251D62" w:rsidRPr="00251D62">
        <w:rPr>
          <w:rFonts w:ascii="Times New Roman" w:eastAsiaTheme="minorEastAsia" w:hAnsi="Times New Roman" w:cs="Times New Roman"/>
          <w:color w:val="000000" w:themeColor="text1"/>
          <w:kern w:val="24"/>
          <w:lang w:val="ru-RU"/>
        </w:rPr>
        <w:t>За потребе процене вредности имовине стечајног дужника</w:t>
      </w:r>
      <w:r>
        <w:rPr>
          <w:rFonts w:ascii="Times New Roman" w:eastAsiaTheme="minorEastAsia" w:hAnsi="Times New Roman" w:cs="Times New Roman"/>
          <w:color w:val="000000" w:themeColor="text1"/>
          <w:kern w:val="24"/>
          <w:lang w:val="ru-RU"/>
        </w:rPr>
        <w:t>, стечајни управник може</w:t>
      </w:r>
      <w:r w:rsidR="000A53E6">
        <w:rPr>
          <w:rFonts w:ascii="Times New Roman" w:eastAsiaTheme="minorEastAsia" w:hAnsi="Times New Roman" w:cs="Times New Roman"/>
          <w:color w:val="000000" w:themeColor="text1"/>
          <w:kern w:val="24"/>
          <w:lang w:val="ru-RU"/>
        </w:rPr>
        <w:t xml:space="preserve"> ангажовати </w:t>
      </w:r>
      <w:r w:rsidR="000A53E6" w:rsidRPr="00FC3472">
        <w:rPr>
          <w:rFonts w:ascii="Times New Roman" w:eastAsiaTheme="minorEastAsia" w:hAnsi="Times New Roman" w:cs="Times New Roman"/>
          <w:color w:val="000000" w:themeColor="text1"/>
          <w:kern w:val="24"/>
          <w:lang w:val="ru-RU"/>
        </w:rPr>
        <w:t>стручна лица</w:t>
      </w:r>
      <w:r w:rsidR="00251D62" w:rsidRPr="00FC3472">
        <w:rPr>
          <w:rFonts w:ascii="Times New Roman" w:eastAsiaTheme="minorEastAsia" w:hAnsi="Times New Roman" w:cs="Times New Roman"/>
          <w:color w:val="000000" w:themeColor="text1"/>
          <w:kern w:val="24"/>
          <w:lang w:val="ru-RU"/>
        </w:rPr>
        <w:t>,</w:t>
      </w:r>
      <w:r w:rsidR="00251D62" w:rsidRPr="00251D62">
        <w:rPr>
          <w:rFonts w:ascii="Times New Roman" w:eastAsiaTheme="minorEastAsia" w:hAnsi="Times New Roman" w:cs="Times New Roman"/>
          <w:color w:val="000000" w:themeColor="text1"/>
          <w:kern w:val="24"/>
          <w:lang w:val="ru-RU"/>
        </w:rPr>
        <w:t xml:space="preserve"> уз сагласност стечајног судије, руководећи се критеријумом њихове стручности и поузданости</w:t>
      </w:r>
      <w:r w:rsidR="00251D62" w:rsidRPr="00DD26A9">
        <w:rPr>
          <w:rFonts w:ascii="Times New Roman" w:eastAsiaTheme="minorEastAsia" w:hAnsi="Times New Roman" w:cs="Times New Roman"/>
          <w:color w:val="000000" w:themeColor="text1"/>
          <w:kern w:val="24"/>
          <w:lang w:val="ru-RU"/>
        </w:rPr>
        <w:t>.</w:t>
      </w:r>
      <w:r>
        <w:rPr>
          <w:rFonts w:ascii="Times New Roman" w:eastAsiaTheme="minorEastAsia" w:hAnsi="Times New Roman" w:cs="Times New Roman"/>
          <w:color w:val="000000" w:themeColor="text1"/>
          <w:kern w:val="24"/>
          <w:lang w:val="ru-RU"/>
        </w:rPr>
        <w:t xml:space="preserve"> </w:t>
      </w:r>
      <w:r w:rsidR="00AB19AF">
        <w:rPr>
          <w:rFonts w:ascii="Times New Roman" w:eastAsiaTheme="minorEastAsia" w:hAnsi="Times New Roman" w:cs="Times New Roman"/>
          <w:color w:val="000000" w:themeColor="text1"/>
          <w:kern w:val="24"/>
          <w:lang w:val="ru-RU"/>
        </w:rPr>
        <w:t xml:space="preserve">Имајући у виду да почетни стечајни биланс са извештајем </w:t>
      </w:r>
      <w:r w:rsidR="00AB19AF" w:rsidRPr="002430E1">
        <w:rPr>
          <w:rFonts w:ascii="Times New Roman" w:hAnsi="Times New Roman" w:cs="Times New Roman"/>
        </w:rPr>
        <w:t>о економско финансијском положају стечајног дужника</w:t>
      </w:r>
      <w:r w:rsidR="00AB19AF">
        <w:rPr>
          <w:rFonts w:ascii="Times New Roman" w:hAnsi="Times New Roman" w:cs="Times New Roman"/>
          <w:lang w:val="sr-Cyrl-RS"/>
        </w:rPr>
        <w:t xml:space="preserve"> </w:t>
      </w:r>
      <w:r w:rsidR="00AB19AF">
        <w:rPr>
          <w:rFonts w:ascii="Times New Roman" w:eastAsiaTheme="minorEastAsia" w:hAnsi="Times New Roman" w:cs="Times New Roman"/>
          <w:color w:val="000000" w:themeColor="text1"/>
          <w:kern w:val="24"/>
          <w:lang w:val="ru-RU"/>
        </w:rPr>
        <w:t xml:space="preserve">повериоцима треба да </w:t>
      </w:r>
      <w:r w:rsidR="00AB19AF" w:rsidRPr="00AB19AF">
        <w:rPr>
          <w:rFonts w:ascii="Times New Roman" w:eastAsiaTheme="minorEastAsia" w:hAnsi="Times New Roman" w:cs="Times New Roman"/>
          <w:color w:val="000000" w:themeColor="text1"/>
          <w:kern w:val="24"/>
          <w:lang w:val="ru-RU"/>
        </w:rPr>
        <w:t xml:space="preserve">омогући </w:t>
      </w:r>
      <w:r w:rsidR="00E92858" w:rsidRPr="00E92858">
        <w:rPr>
          <w:rFonts w:ascii="Times New Roman" w:eastAsia="Times New Roman" w:hAnsi="Times New Roman" w:cs="Times New Roman"/>
          <w:color w:val="000000" w:themeColor="text1"/>
          <w:lang w:val="sr-Cyrl-CS"/>
        </w:rPr>
        <w:t>реално сагледавање вредности имовине стечајног дужника</w:t>
      </w:r>
      <w:r w:rsidR="00AB19AF">
        <w:rPr>
          <w:rFonts w:ascii="Times New Roman" w:eastAsia="Times New Roman" w:hAnsi="Times New Roman" w:cs="Times New Roman"/>
          <w:color w:val="000000" w:themeColor="text1"/>
          <w:lang w:val="sr-Cyrl-CS"/>
        </w:rPr>
        <w:t xml:space="preserve"> из свих напред на</w:t>
      </w:r>
      <w:r w:rsidR="00EF0CEA">
        <w:rPr>
          <w:rFonts w:ascii="Times New Roman" w:eastAsia="Times New Roman" w:hAnsi="Times New Roman" w:cs="Times New Roman"/>
          <w:color w:val="000000" w:themeColor="text1"/>
          <w:lang w:val="sr-Cyrl-CS"/>
        </w:rPr>
        <w:t>ведених разлога, за сваку позицију</w:t>
      </w:r>
      <w:r w:rsidR="00AB19AF">
        <w:rPr>
          <w:rFonts w:ascii="Times New Roman" w:eastAsia="Times New Roman" w:hAnsi="Times New Roman" w:cs="Times New Roman"/>
          <w:color w:val="000000" w:themeColor="text1"/>
          <w:lang w:val="sr-Cyrl-CS"/>
        </w:rPr>
        <w:t xml:space="preserve"> имовине </w:t>
      </w:r>
      <w:r w:rsidR="00E92858" w:rsidRPr="00E92858">
        <w:rPr>
          <w:rFonts w:ascii="Times New Roman" w:eastAsia="Times New Roman" w:hAnsi="Times New Roman" w:cs="Times New Roman"/>
          <w:color w:val="000000" w:themeColor="text1"/>
          <w:lang w:val="sr-Cyrl-CS"/>
        </w:rPr>
        <w:t>треба дати одговарајуће образложење</w:t>
      </w:r>
      <w:r w:rsidR="00AB19AF">
        <w:rPr>
          <w:rFonts w:ascii="Times New Roman" w:eastAsia="Times New Roman" w:hAnsi="Times New Roman" w:cs="Times New Roman"/>
          <w:color w:val="000000" w:themeColor="text1"/>
          <w:lang w:val="sr-Cyrl-CS"/>
        </w:rPr>
        <w:t>.</w:t>
      </w:r>
      <w:r w:rsidR="0074419E">
        <w:rPr>
          <w:rFonts w:ascii="Times New Roman" w:eastAsia="Times New Roman" w:hAnsi="Times New Roman" w:cs="Times New Roman"/>
          <w:color w:val="000000" w:themeColor="text1"/>
          <w:lang w:val="sr-Cyrl-CS"/>
        </w:rPr>
        <w:t xml:space="preserve"> </w:t>
      </w:r>
    </w:p>
    <w:p w:rsidR="005233F7" w:rsidRDefault="005233F7" w:rsidP="00251D62">
      <w:pPr>
        <w:spacing w:after="0" w:line="240" w:lineRule="auto"/>
        <w:jc w:val="both"/>
        <w:rPr>
          <w:rFonts w:ascii="Times New Roman" w:eastAsia="Times New Roman" w:hAnsi="Times New Roman" w:cs="Times New Roman"/>
          <w:color w:val="000000" w:themeColor="text1"/>
          <w:lang w:val="sr-Cyrl-CS"/>
        </w:rPr>
      </w:pPr>
    </w:p>
    <w:p w:rsidR="00251D62" w:rsidRDefault="00E51D98" w:rsidP="00251D62">
      <w:pPr>
        <w:spacing w:after="0" w:line="240" w:lineRule="auto"/>
        <w:jc w:val="both"/>
        <w:rPr>
          <w:rFonts w:ascii="Times New Roman" w:eastAsia="Times New Roman" w:hAnsi="Times New Roman" w:cs="Times New Roman"/>
          <w:color w:val="000000" w:themeColor="text1"/>
          <w:lang w:val="sr-Cyrl-CS"/>
        </w:rPr>
      </w:pPr>
      <w:r>
        <w:rPr>
          <w:rFonts w:ascii="Times New Roman" w:eastAsia="Times New Roman" w:hAnsi="Times New Roman" w:cs="Times New Roman"/>
          <w:color w:val="000000" w:themeColor="text1"/>
          <w:lang w:val="sr-Cyrl-RS"/>
        </w:rPr>
        <w:t xml:space="preserve">Посебан проблем код евидентирања непокретне имовине (који се не појављује у приватним стечајевима јер се ради о непокретностима у приватној својини), представља могућност да је Агенцији за реституцију поднет захтев за враћање одузете имовине и обештећење, с обзиром да је </w:t>
      </w:r>
      <w:r w:rsidR="00343D94">
        <w:rPr>
          <w:rFonts w:ascii="Times New Roman" w:eastAsia="Times New Roman" w:hAnsi="Times New Roman" w:cs="Times New Roman"/>
          <w:color w:val="000000" w:themeColor="text1"/>
          <w:lang w:val="sr-Cyrl-RS"/>
        </w:rPr>
        <w:t>Законом о враћању одузете им</w:t>
      </w:r>
      <w:r>
        <w:rPr>
          <w:rFonts w:ascii="Times New Roman" w:eastAsia="Times New Roman" w:hAnsi="Times New Roman" w:cs="Times New Roman"/>
          <w:color w:val="000000" w:themeColor="text1"/>
          <w:lang w:val="sr-Cyrl-RS"/>
        </w:rPr>
        <w:t xml:space="preserve">овине и обештећењу прописано </w:t>
      </w:r>
      <w:r w:rsidR="00343D94">
        <w:rPr>
          <w:rFonts w:ascii="Times New Roman" w:eastAsia="Times New Roman" w:hAnsi="Times New Roman" w:cs="Times New Roman"/>
          <w:color w:val="000000" w:themeColor="text1"/>
          <w:lang w:val="sr-Cyrl-RS"/>
        </w:rPr>
        <w:t xml:space="preserve">да </w:t>
      </w:r>
      <w:r w:rsidR="00343D94" w:rsidRPr="00C31093">
        <w:rPr>
          <w:rFonts w:ascii="Times New Roman" w:eastAsia="Times New Roman" w:hAnsi="Times New Roman" w:cs="Times New Roman"/>
          <w:color w:val="000000" w:themeColor="text1"/>
          <w:lang w:val="sr-Cyrl-RS"/>
        </w:rPr>
        <w:t xml:space="preserve">је </w:t>
      </w:r>
      <w:r w:rsidR="00343D94" w:rsidRPr="00C31093">
        <w:rPr>
          <w:rFonts w:ascii="Times New Roman" w:hAnsi="Times New Roman" w:cs="Times New Roman"/>
        </w:rPr>
        <w:t xml:space="preserve">обвезник враћања подржављене имовине у натуралном облику Република Србија, аутономна покрајина, јединица локалне самоуправе, јавно предузеће, привредно друштво или друго правно лице чији је оснивач Република Србија, аутономна покрајина или јединица локалне самоуправе, привредно друштво са већинским друштвеним капиталом и задруга, укључујући и </w:t>
      </w:r>
      <w:r w:rsidR="00343D94" w:rsidRPr="00C31093">
        <w:rPr>
          <w:rFonts w:ascii="Times New Roman" w:hAnsi="Times New Roman" w:cs="Times New Roman"/>
          <w:b/>
        </w:rPr>
        <w:t>привредна друштва и задруге у поступку стечаја и ликвидације</w:t>
      </w:r>
      <w:r w:rsidR="00343D94" w:rsidRPr="00C31093">
        <w:rPr>
          <w:rFonts w:ascii="Times New Roman" w:hAnsi="Times New Roman" w:cs="Times New Roman"/>
        </w:rPr>
        <w:t>, а који је, на дан ступања на снагу овог закона, власник, држалац или носилац права коришћења, односно располагања на подржављеној имовини - у односу на право које му припада.</w:t>
      </w:r>
      <w:r>
        <w:rPr>
          <w:rFonts w:ascii="Times New Roman" w:hAnsi="Times New Roman" w:cs="Times New Roman"/>
          <w:lang w:val="sr-Cyrl-RS"/>
        </w:rPr>
        <w:t xml:space="preserve"> Имајући у виду да</w:t>
      </w:r>
      <w:r w:rsidR="004A2118">
        <w:rPr>
          <w:rFonts w:ascii="Times New Roman" w:eastAsia="Times New Roman" w:hAnsi="Times New Roman" w:cs="Times New Roman"/>
          <w:color w:val="000000" w:themeColor="text1"/>
          <w:lang w:val="sr-Cyrl-RS"/>
        </w:rPr>
        <w:t xml:space="preserve"> највише грешака настаје приликом уноса непокретне имовине, </w:t>
      </w:r>
      <w:r w:rsidR="004A2118">
        <w:rPr>
          <w:rFonts w:ascii="Times New Roman" w:eastAsia="Times New Roman" w:hAnsi="Times New Roman" w:cs="Times New Roman"/>
          <w:color w:val="000000" w:themeColor="text1"/>
          <w:lang w:val="sr-Cyrl-CS"/>
        </w:rPr>
        <w:t>с</w:t>
      </w:r>
      <w:r w:rsidR="0074419E">
        <w:rPr>
          <w:rFonts w:ascii="Times New Roman" w:eastAsia="Times New Roman" w:hAnsi="Times New Roman" w:cs="Times New Roman"/>
          <w:color w:val="000000" w:themeColor="text1"/>
          <w:lang w:val="sr-Cyrl-CS"/>
        </w:rPr>
        <w:t>леди пример секције Објекти у извештају о економско финансијском стању стечајног дужника у стечајном поступку у коме је за стечајног управника именована Агенција за лиценцирање стечајних управника:</w:t>
      </w:r>
    </w:p>
    <w:p w:rsidR="00CE7308" w:rsidRDefault="00CE7308" w:rsidP="00251D62">
      <w:pPr>
        <w:spacing w:after="0" w:line="240" w:lineRule="auto"/>
        <w:jc w:val="both"/>
        <w:rPr>
          <w:rFonts w:ascii="Times New Roman" w:hAnsi="Times New Roman" w:cs="Times New Roman"/>
          <w:color w:val="000000" w:themeColor="text1"/>
          <w:lang w:val="sr-Cyrl-RS"/>
        </w:rPr>
      </w:pPr>
      <w:r>
        <w:rPr>
          <w:rFonts w:ascii="Times New Roman" w:hAnsi="Times New Roman" w:cs="Times New Roman"/>
          <w:noProof/>
          <w:color w:val="000000" w:themeColor="text1"/>
          <w:lang w:val="sr-Latn-RS" w:eastAsia="sr-Latn-RS"/>
        </w:rPr>
        <w:lastRenderedPageBreak/>
        <w:drawing>
          <wp:anchor distT="0" distB="0" distL="114300" distR="114300" simplePos="0" relativeHeight="251657728" behindDoc="0" locked="0" layoutInCell="1" allowOverlap="1" wp14:anchorId="7E71FB47" wp14:editId="75C1C3DB">
            <wp:simplePos x="0" y="0"/>
            <wp:positionH relativeFrom="column">
              <wp:posOffset>-161925</wp:posOffset>
            </wp:positionH>
            <wp:positionV relativeFrom="paragraph">
              <wp:posOffset>-307340</wp:posOffset>
            </wp:positionV>
            <wp:extent cx="6315075" cy="705739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c\Desktop\Slike EFIja.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15075" cy="7057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D62" w:rsidRDefault="00AF1B45" w:rsidP="00251D62">
      <w:pPr>
        <w:spacing w:after="0" w:line="240" w:lineRule="auto"/>
        <w:jc w:val="both"/>
        <w:rPr>
          <w:rFonts w:ascii="Times New Roman" w:eastAsia="Times New Roman" w:hAnsi="Times New Roman" w:cs="Times New Roman"/>
          <w:color w:val="000000" w:themeColor="text1"/>
          <w:lang w:val="sr-Cyrl-CS"/>
        </w:rPr>
      </w:pPr>
      <w:r>
        <w:rPr>
          <w:rFonts w:ascii="Times New Roman" w:hAnsi="Times New Roman" w:cs="Times New Roman"/>
          <w:color w:val="000000" w:themeColor="text1"/>
          <w:lang w:val="sr-Cyrl-RS"/>
        </w:rPr>
        <w:t>У конкретном примеру, стечајни дужник располаже имовином у друштвеној својини, с тим што нема дозволе за изградњу ни употребне дозволе за све објекте, те је уписана врста права – држалац.</w:t>
      </w:r>
      <w:r w:rsidR="00E76320">
        <w:rPr>
          <w:rFonts w:ascii="Times New Roman" w:hAnsi="Times New Roman" w:cs="Times New Roman"/>
          <w:color w:val="000000" w:themeColor="text1"/>
          <w:lang w:val="sr-Cyrl-RS"/>
        </w:rPr>
        <w:t xml:space="preserve"> У овом случају постоји </w:t>
      </w:r>
      <w:r w:rsidR="000D23D6">
        <w:rPr>
          <w:rFonts w:ascii="Times New Roman" w:hAnsi="Times New Roman" w:cs="Times New Roman"/>
          <w:color w:val="000000" w:themeColor="text1"/>
          <w:lang w:val="sr-Cyrl-RS"/>
        </w:rPr>
        <w:t xml:space="preserve">могућност да су Агенцији за реституцију поднети захтеви за враћање одузете имовине и обештећење, те стечајни управник од исте </w:t>
      </w:r>
      <w:r w:rsidR="00836A24">
        <w:rPr>
          <w:rFonts w:ascii="Times New Roman" w:hAnsi="Times New Roman" w:cs="Times New Roman"/>
          <w:color w:val="000000" w:themeColor="text1"/>
          <w:lang w:val="sr-Cyrl-RS"/>
        </w:rPr>
        <w:t xml:space="preserve">мора да </w:t>
      </w:r>
      <w:r w:rsidR="000D23D6">
        <w:rPr>
          <w:rFonts w:ascii="Times New Roman" w:hAnsi="Times New Roman" w:cs="Times New Roman"/>
          <w:color w:val="000000" w:themeColor="text1"/>
          <w:lang w:val="sr-Cyrl-RS"/>
        </w:rPr>
        <w:t xml:space="preserve">тражи обавештење о евентуално поднетим захтевима. </w:t>
      </w:r>
      <w:r w:rsidR="0074248F">
        <w:rPr>
          <w:rFonts w:ascii="Times New Roman" w:hAnsi="Times New Roman" w:cs="Times New Roman"/>
          <w:color w:val="000000" w:themeColor="text1"/>
          <w:lang w:val="sr-Cyrl-RS"/>
        </w:rPr>
        <w:t xml:space="preserve">У овој фази стечајног поступка, стечајни управник, због кратких рокова, није у могућности да провери да ли постоје поднети захтеви, али то мора обавезно да учини пре израде продајне документације. С обзиром да подаци из извештаја </w:t>
      </w:r>
      <w:r w:rsidR="0074248F">
        <w:rPr>
          <w:rFonts w:ascii="Times New Roman" w:eastAsia="Times New Roman" w:hAnsi="Times New Roman" w:cs="Times New Roman"/>
          <w:color w:val="000000" w:themeColor="text1"/>
          <w:lang w:val="sr-Cyrl-CS"/>
        </w:rPr>
        <w:t xml:space="preserve">о економско финансијском стању стечајног дужника, осим за већ наведене потребе поверилаца, служе и </w:t>
      </w:r>
      <w:r w:rsidR="0074248F">
        <w:rPr>
          <w:rFonts w:ascii="Times New Roman" w:eastAsia="Times New Roman" w:hAnsi="Times New Roman" w:cs="Times New Roman"/>
          <w:color w:val="000000" w:themeColor="text1"/>
          <w:lang w:val="sr-Cyrl-CS"/>
        </w:rPr>
        <w:lastRenderedPageBreak/>
        <w:t xml:space="preserve">стечајном управнику за израду других извештаја, изјашњења стечајном судији и поверилачким органима итд, из практичних разлога би било добро да се поред назива  објекта упише број листа непокретности, поред облика својине (колона Власнички статус) и врста права стечајног дужника на имовини (својина, држалац, корисник), а поред катастарске парцеле </w:t>
      </w:r>
      <w:r w:rsidR="00AD4595">
        <w:rPr>
          <w:rFonts w:ascii="Times New Roman" w:eastAsia="Times New Roman" w:hAnsi="Times New Roman" w:cs="Times New Roman"/>
          <w:color w:val="000000" w:themeColor="text1"/>
          <w:lang w:val="sr-Cyrl-CS"/>
        </w:rPr>
        <w:t xml:space="preserve">- </w:t>
      </w:r>
      <w:r w:rsidR="0074248F">
        <w:rPr>
          <w:rFonts w:ascii="Times New Roman" w:eastAsia="Times New Roman" w:hAnsi="Times New Roman" w:cs="Times New Roman"/>
          <w:color w:val="000000" w:themeColor="text1"/>
          <w:lang w:val="sr-Cyrl-CS"/>
        </w:rPr>
        <w:t xml:space="preserve">да се налази и назив катастарске општине. </w:t>
      </w:r>
      <w:r w:rsidR="00FE3148">
        <w:rPr>
          <w:rFonts w:ascii="Times New Roman" w:eastAsia="Times New Roman" w:hAnsi="Times New Roman" w:cs="Times New Roman"/>
          <w:color w:val="000000" w:themeColor="text1"/>
          <w:lang w:val="sr-Cyrl-CS"/>
        </w:rPr>
        <w:t>Приликом уноса података о имовини у ЕРС, постоје посебна поља за све наведено, али се приликом генерисања не налазе у извештају. У примеру се може уочити да је за сваку позицију имовине дато</w:t>
      </w:r>
      <w:r w:rsidR="00E92858" w:rsidRPr="00E92858">
        <w:rPr>
          <w:rFonts w:ascii="Times New Roman" w:eastAsia="Times New Roman" w:hAnsi="Times New Roman" w:cs="Times New Roman"/>
          <w:color w:val="000000" w:themeColor="text1"/>
          <w:lang w:val="sr-Cyrl-CS"/>
        </w:rPr>
        <w:t xml:space="preserve"> одговарајуће образложење</w:t>
      </w:r>
      <w:r w:rsidR="00FE3148">
        <w:rPr>
          <w:rFonts w:ascii="Times New Roman" w:eastAsia="Times New Roman" w:hAnsi="Times New Roman" w:cs="Times New Roman"/>
          <w:color w:val="000000" w:themeColor="text1"/>
          <w:lang w:val="sr-Cyrl-CS"/>
        </w:rPr>
        <w:t xml:space="preserve"> по питању дозвола, етажирања објеката, идеалних делова и објекта за који стечајни управник само има усмена сазнања да би могао бити у својини стечајног дужника, али нема довољно података ни документације да би га и проценио као његову имовину.</w:t>
      </w:r>
    </w:p>
    <w:p w:rsidR="00251D62" w:rsidRDefault="00251D62" w:rsidP="00251D62">
      <w:pPr>
        <w:spacing w:after="0" w:line="240" w:lineRule="auto"/>
        <w:jc w:val="both"/>
        <w:rPr>
          <w:rFonts w:ascii="Times New Roman" w:eastAsia="Times New Roman" w:hAnsi="Times New Roman" w:cs="Times New Roman"/>
          <w:color w:val="000000" w:themeColor="text1"/>
          <w:lang w:val="sr-Cyrl-CS"/>
        </w:rPr>
      </w:pPr>
    </w:p>
    <w:p w:rsidR="00251D62" w:rsidRPr="00251D62" w:rsidRDefault="00E82C12" w:rsidP="00251D62">
      <w:pPr>
        <w:spacing w:after="0" w:line="240" w:lineRule="auto"/>
        <w:jc w:val="both"/>
        <w:rPr>
          <w:rFonts w:ascii="Times New Roman" w:hAnsi="Times New Roman" w:cs="Times New Roman"/>
          <w:color w:val="000000" w:themeColor="text1"/>
          <w:lang w:val="sr-Cyrl-RS"/>
        </w:rPr>
      </w:pPr>
      <w:r>
        <w:rPr>
          <w:rFonts w:ascii="Times New Roman" w:eastAsia="Times New Roman" w:hAnsi="Times New Roman" w:cs="Times New Roman"/>
          <w:color w:val="000000" w:themeColor="text1"/>
          <w:lang w:val="sr-Cyrl-CS"/>
        </w:rPr>
        <w:t xml:space="preserve">Повериоце посебно интересује ликвидациона вредност имовине, с обзиром да на основу ње врше </w:t>
      </w:r>
      <w:r>
        <w:rPr>
          <w:rFonts w:ascii="Times New Roman" w:hAnsi="Times New Roman" w:cs="Times New Roman"/>
          <w:lang w:val="sr-Cyrl-RS"/>
        </w:rPr>
        <w:t xml:space="preserve">процену могућности намирења својих потраживања. У Националном стандарду број 2 </w:t>
      </w:r>
      <w:r w:rsidR="00580131">
        <w:rPr>
          <w:rFonts w:ascii="Times New Roman" w:hAnsi="Times New Roman" w:cs="Times New Roman"/>
          <w:lang w:val="sr-Cyrl-RS"/>
        </w:rPr>
        <w:t>–</w:t>
      </w:r>
      <w:r>
        <w:rPr>
          <w:rFonts w:ascii="Times New Roman" w:hAnsi="Times New Roman" w:cs="Times New Roman"/>
          <w:lang w:val="sr-Cyrl-RS"/>
        </w:rPr>
        <w:t xml:space="preserve"> </w:t>
      </w:r>
      <w:r w:rsidR="00580131">
        <w:rPr>
          <w:rFonts w:ascii="Times New Roman" w:hAnsi="Times New Roman" w:cs="Times New Roman"/>
          <w:lang w:val="sr-Cyrl-RS"/>
        </w:rPr>
        <w:t>Национални стандард о попису имовине, процени вредности и поче</w:t>
      </w:r>
      <w:r w:rsidR="00E76320">
        <w:rPr>
          <w:rFonts w:ascii="Times New Roman" w:hAnsi="Times New Roman" w:cs="Times New Roman"/>
          <w:lang w:val="sr-Cyrl-RS"/>
        </w:rPr>
        <w:t>тном стечајном билансу стечајног</w:t>
      </w:r>
      <w:r w:rsidR="00580131">
        <w:rPr>
          <w:rFonts w:ascii="Times New Roman" w:hAnsi="Times New Roman" w:cs="Times New Roman"/>
          <w:lang w:val="sr-Cyrl-RS"/>
        </w:rPr>
        <w:t xml:space="preserve"> дужника дата је дефиниција ликвидационе вредности тако да: </w:t>
      </w:r>
    </w:p>
    <w:p w:rsidR="00760F3E" w:rsidRDefault="00580131" w:rsidP="00760F3E">
      <w:pPr>
        <w:pStyle w:val="NormalWeb"/>
        <w:spacing w:before="120" w:beforeAutospacing="0" w:after="0" w:afterAutospacing="0"/>
        <w:jc w:val="both"/>
        <w:rPr>
          <w:rFonts w:eastAsiaTheme="minorEastAsia"/>
          <w:bCs/>
          <w:color w:val="000000" w:themeColor="text1"/>
          <w:kern w:val="24"/>
          <w:sz w:val="22"/>
          <w:szCs w:val="22"/>
          <w:lang w:val="ru-RU"/>
        </w:rPr>
      </w:pPr>
      <w:r>
        <w:rPr>
          <w:rFonts w:eastAsiaTheme="minorEastAsia"/>
          <w:b/>
          <w:bCs/>
          <w:color w:val="000000" w:themeColor="text1"/>
          <w:kern w:val="24"/>
          <w:sz w:val="22"/>
          <w:szCs w:val="22"/>
          <w:lang w:val="ru-RU"/>
        </w:rPr>
        <w:t>"</w:t>
      </w:r>
      <w:r w:rsidR="00760F3E" w:rsidRPr="00760F3E">
        <w:rPr>
          <w:rFonts w:eastAsiaTheme="minorEastAsia"/>
          <w:b/>
          <w:bCs/>
          <w:color w:val="000000" w:themeColor="text1"/>
          <w:kern w:val="24"/>
          <w:sz w:val="22"/>
          <w:szCs w:val="22"/>
          <w:lang w:val="ru-RU"/>
        </w:rPr>
        <w:t>Ликвидациона вредност представља новчани износ који би се остварио продајом имовине на датом тржишту у разумном року.</w:t>
      </w:r>
      <w:r>
        <w:rPr>
          <w:rFonts w:eastAsiaTheme="minorEastAsia"/>
          <w:b/>
          <w:bCs/>
          <w:color w:val="000000" w:themeColor="text1"/>
          <w:kern w:val="24"/>
          <w:sz w:val="22"/>
          <w:szCs w:val="22"/>
          <w:lang w:val="ru-RU"/>
        </w:rPr>
        <w:t>"</w:t>
      </w:r>
      <w:r w:rsidR="00B50CB1">
        <w:rPr>
          <w:rFonts w:eastAsiaTheme="minorEastAsia"/>
          <w:b/>
          <w:bCs/>
          <w:color w:val="000000" w:themeColor="text1"/>
          <w:kern w:val="24"/>
          <w:sz w:val="22"/>
          <w:szCs w:val="22"/>
          <w:lang w:val="ru-RU"/>
        </w:rPr>
        <w:t xml:space="preserve"> </w:t>
      </w:r>
    </w:p>
    <w:p w:rsidR="0024774B" w:rsidRDefault="0024774B" w:rsidP="00AE7E3B">
      <w:pPr>
        <w:spacing w:after="0" w:line="240" w:lineRule="auto"/>
        <w:jc w:val="both"/>
        <w:rPr>
          <w:rFonts w:ascii="Times New Roman" w:hAnsi="Times New Roman" w:cs="Times New Roman"/>
          <w:lang w:val="sr-Cyrl-RS"/>
        </w:rPr>
      </w:pPr>
    </w:p>
    <w:p w:rsidR="00C13EAA" w:rsidRDefault="00C13EAA" w:rsidP="00AE7E3B">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У пракси су уочени многобројни проблеми приликом </w:t>
      </w:r>
      <w:r w:rsidR="00CB0816">
        <w:rPr>
          <w:rFonts w:ascii="Times New Roman" w:hAnsi="Times New Roman" w:cs="Times New Roman"/>
          <w:lang w:val="sr-Cyrl-RS"/>
        </w:rPr>
        <w:t xml:space="preserve">прегледа </w:t>
      </w:r>
      <w:r>
        <w:rPr>
          <w:rFonts w:ascii="Times New Roman" w:hAnsi="Times New Roman" w:cs="Times New Roman"/>
          <w:lang w:val="sr-Cyrl-RS"/>
        </w:rPr>
        <w:t>процене имовине стечајног дужника, а неки од њих су:</w:t>
      </w:r>
    </w:p>
    <w:p w:rsidR="00C13EAA" w:rsidRDefault="00C13EAA" w:rsidP="00AE7E3B">
      <w:pPr>
        <w:spacing w:after="0" w:line="240" w:lineRule="auto"/>
        <w:jc w:val="both"/>
        <w:rPr>
          <w:rFonts w:ascii="Times New Roman" w:hAnsi="Times New Roman" w:cs="Times New Roman"/>
          <w:lang w:val="sr-Cyrl-RS"/>
        </w:rPr>
      </w:pPr>
    </w:p>
    <w:p w:rsidR="00C13EAA" w:rsidRPr="00200DDA" w:rsidRDefault="00200DDA" w:rsidP="00200DDA">
      <w:pPr>
        <w:pStyle w:val="ListParagraph"/>
        <w:numPr>
          <w:ilvl w:val="0"/>
          <w:numId w:val="8"/>
        </w:numPr>
        <w:spacing w:after="0" w:line="240" w:lineRule="auto"/>
        <w:jc w:val="both"/>
        <w:rPr>
          <w:rFonts w:ascii="Times New Roman" w:hAnsi="Times New Roman" w:cs="Times New Roman"/>
          <w:lang w:val="sr-Cyrl-RS"/>
        </w:rPr>
      </w:pPr>
      <w:r>
        <w:rPr>
          <w:rFonts w:ascii="Times New Roman" w:hAnsi="Times New Roman" w:cs="Times New Roman"/>
          <w:lang w:val="sr-Cyrl-RS"/>
        </w:rPr>
        <w:t>стечајни управник</w:t>
      </w:r>
      <w:r w:rsidR="00153B43" w:rsidRPr="00200DDA">
        <w:rPr>
          <w:rFonts w:ascii="Times New Roman" w:hAnsi="Times New Roman" w:cs="Times New Roman"/>
          <w:lang w:val="sr-Cyrl-RS"/>
        </w:rPr>
        <w:t xml:space="preserve"> </w:t>
      </w:r>
      <w:r w:rsidR="00836A24">
        <w:rPr>
          <w:rFonts w:ascii="Times New Roman" w:hAnsi="Times New Roman" w:cs="Times New Roman"/>
          <w:lang w:val="sr-Cyrl-RS"/>
        </w:rPr>
        <w:t>је захтевао</w:t>
      </w:r>
      <w:r>
        <w:rPr>
          <w:rFonts w:ascii="Times New Roman" w:hAnsi="Times New Roman" w:cs="Times New Roman"/>
          <w:lang w:val="sr-Cyrl-RS"/>
        </w:rPr>
        <w:t xml:space="preserve"> да проценитељ процени објекте које није преузео</w:t>
      </w:r>
      <w:r w:rsidR="000C39B6">
        <w:rPr>
          <w:rFonts w:ascii="Times New Roman" w:hAnsi="Times New Roman" w:cs="Times New Roman"/>
          <w:lang w:val="sr-Cyrl-RS"/>
        </w:rPr>
        <w:t xml:space="preserve"> приликом уласка у посед, а нема ни</w:t>
      </w:r>
      <w:r>
        <w:rPr>
          <w:rFonts w:ascii="Times New Roman" w:hAnsi="Times New Roman" w:cs="Times New Roman"/>
          <w:lang w:val="sr-Cyrl-RS"/>
        </w:rPr>
        <w:t xml:space="preserve"> </w:t>
      </w:r>
      <w:r w:rsidR="000C39B6">
        <w:rPr>
          <w:rFonts w:ascii="Times New Roman" w:hAnsi="Times New Roman" w:cs="Times New Roman"/>
          <w:lang w:val="sr-Cyrl-RS"/>
        </w:rPr>
        <w:t>нео</w:t>
      </w:r>
      <w:r w:rsidR="00283BC1">
        <w:rPr>
          <w:rFonts w:ascii="Times New Roman" w:hAnsi="Times New Roman" w:cs="Times New Roman"/>
          <w:lang w:val="sr-Cyrl-RS"/>
        </w:rPr>
        <w:t>п</w:t>
      </w:r>
      <w:r w:rsidR="000C39B6">
        <w:rPr>
          <w:rFonts w:ascii="Times New Roman" w:hAnsi="Times New Roman" w:cs="Times New Roman"/>
          <w:lang w:val="sr-Cyrl-RS"/>
        </w:rPr>
        <w:t>ходну</w:t>
      </w:r>
      <w:r w:rsidR="00E76320">
        <w:rPr>
          <w:rFonts w:ascii="Times New Roman" w:hAnsi="Times New Roman" w:cs="Times New Roman"/>
          <w:lang w:val="sr-Cyrl-RS"/>
        </w:rPr>
        <w:t xml:space="preserve"> </w:t>
      </w:r>
      <w:r w:rsidR="00DA1B54" w:rsidRPr="00200DDA">
        <w:rPr>
          <w:rFonts w:ascii="Times New Roman" w:hAnsi="Times New Roman" w:cs="Times New Roman"/>
          <w:lang w:val="sr-Cyrl-RS"/>
        </w:rPr>
        <w:t>документаци</w:t>
      </w:r>
      <w:r>
        <w:rPr>
          <w:rFonts w:ascii="Times New Roman" w:hAnsi="Times New Roman" w:cs="Times New Roman"/>
          <w:lang w:val="sr-Cyrl-RS"/>
        </w:rPr>
        <w:t>ју</w:t>
      </w:r>
      <w:r w:rsidR="00153B43" w:rsidRPr="00200DDA">
        <w:rPr>
          <w:rFonts w:ascii="Times New Roman" w:hAnsi="Times New Roman" w:cs="Times New Roman"/>
          <w:lang w:val="sr-Cyrl-RS"/>
        </w:rPr>
        <w:t>;</w:t>
      </w:r>
    </w:p>
    <w:p w:rsidR="00153B43" w:rsidRPr="00200DDA" w:rsidRDefault="00153B43" w:rsidP="00200DDA">
      <w:pPr>
        <w:pStyle w:val="ListParagraph"/>
        <w:numPr>
          <w:ilvl w:val="0"/>
          <w:numId w:val="8"/>
        </w:numPr>
        <w:spacing w:after="0" w:line="240" w:lineRule="auto"/>
        <w:jc w:val="both"/>
        <w:rPr>
          <w:rFonts w:ascii="Times New Roman" w:hAnsi="Times New Roman" w:cs="Times New Roman"/>
          <w:lang w:val="sr-Cyrl-RS"/>
        </w:rPr>
      </w:pPr>
      <w:r w:rsidRPr="00200DDA">
        <w:rPr>
          <w:rFonts w:ascii="Times New Roman" w:hAnsi="Times New Roman" w:cs="Times New Roman"/>
          <w:lang w:val="sr-Cyrl-RS"/>
        </w:rPr>
        <w:t>непотпуна и неадекватна имовинско правна документација на основу које је вршена процена (листови непокретности стари неколико година; уместо листова непокретности-изводи штампани са сајта РГЗ; изводи из земљишних књига иако је на снази катастар непокретности итд);</w:t>
      </w:r>
    </w:p>
    <w:p w:rsidR="00E242E1" w:rsidRPr="00200DDA" w:rsidRDefault="00E242E1" w:rsidP="00200DDA">
      <w:pPr>
        <w:pStyle w:val="ListParagraph"/>
        <w:numPr>
          <w:ilvl w:val="0"/>
          <w:numId w:val="8"/>
        </w:numPr>
        <w:spacing w:after="0" w:line="240" w:lineRule="auto"/>
        <w:jc w:val="both"/>
        <w:rPr>
          <w:rFonts w:ascii="Times New Roman" w:hAnsi="Times New Roman" w:cs="Times New Roman"/>
          <w:lang w:val="sr-Cyrl-RS"/>
        </w:rPr>
      </w:pPr>
      <w:r w:rsidRPr="00200DDA">
        <w:rPr>
          <w:rFonts w:ascii="Times New Roman" w:hAnsi="Times New Roman" w:cs="Times New Roman"/>
          <w:lang w:val="sr-Cyrl-RS"/>
        </w:rPr>
        <w:t xml:space="preserve">процена нето површине објеката уместо бруто површине (када треба проценити цео објекат а не </w:t>
      </w:r>
      <w:r w:rsidR="00A16010">
        <w:rPr>
          <w:rFonts w:ascii="Times New Roman" w:hAnsi="Times New Roman" w:cs="Times New Roman"/>
          <w:lang w:val="sr-Cyrl-RS"/>
        </w:rPr>
        <w:t>пословне просторије</w:t>
      </w:r>
      <w:r w:rsidRPr="00200DDA">
        <w:rPr>
          <w:rFonts w:ascii="Times New Roman" w:hAnsi="Times New Roman" w:cs="Times New Roman"/>
          <w:lang w:val="sr-Cyrl-RS"/>
        </w:rPr>
        <w:t xml:space="preserve"> унутар објеката, тзв. посебне делове који се уписују у В лист листа непокретности);</w:t>
      </w:r>
    </w:p>
    <w:p w:rsidR="00E15B9C" w:rsidRPr="00200DDA" w:rsidRDefault="00E15B9C" w:rsidP="00200DDA">
      <w:pPr>
        <w:pStyle w:val="ListParagraph"/>
        <w:numPr>
          <w:ilvl w:val="0"/>
          <w:numId w:val="8"/>
        </w:numPr>
        <w:spacing w:after="0" w:line="240" w:lineRule="auto"/>
        <w:jc w:val="both"/>
        <w:rPr>
          <w:rFonts w:ascii="Times New Roman" w:hAnsi="Times New Roman" w:cs="Times New Roman"/>
          <w:lang w:val="sr-Cyrl-RS"/>
        </w:rPr>
      </w:pPr>
      <w:r w:rsidRPr="00200DDA">
        <w:rPr>
          <w:rFonts w:ascii="Times New Roman" w:hAnsi="Times New Roman" w:cs="Times New Roman"/>
          <w:lang w:val="sr-Cyrl-RS"/>
        </w:rPr>
        <w:t>процена објеката само у основи, иако је објекат етажиран (на пр. уместо 200м</w:t>
      </w:r>
      <w:r w:rsidRPr="00200DDA">
        <w:rPr>
          <w:rFonts w:ascii="Times New Roman" w:hAnsi="Times New Roman" w:cs="Times New Roman"/>
          <w:vertAlign w:val="superscript"/>
          <w:lang w:val="sr-Cyrl-RS"/>
        </w:rPr>
        <w:t>2</w:t>
      </w:r>
      <w:r w:rsidRPr="00200DDA">
        <w:rPr>
          <w:rFonts w:ascii="Times New Roman" w:hAnsi="Times New Roman" w:cs="Times New Roman"/>
          <w:lang w:val="sr-Cyrl-RS"/>
        </w:rPr>
        <w:t>, процењено је само 100м</w:t>
      </w:r>
      <w:r w:rsidRPr="00200DDA">
        <w:rPr>
          <w:rFonts w:ascii="Times New Roman" w:hAnsi="Times New Roman" w:cs="Times New Roman"/>
          <w:vertAlign w:val="superscript"/>
          <w:lang w:val="sr-Cyrl-RS"/>
        </w:rPr>
        <w:t>2</w:t>
      </w:r>
      <w:r w:rsidRPr="00200DDA">
        <w:rPr>
          <w:rFonts w:ascii="Times New Roman" w:hAnsi="Times New Roman" w:cs="Times New Roman"/>
          <w:lang w:val="sr-Cyrl-RS"/>
        </w:rPr>
        <w:t>), а у листу непокретности је уписано етажирање или је проценитељ утврдио мерењем на терену, или се може уочити на фотографијама обј</w:t>
      </w:r>
      <w:r w:rsidR="00A16010">
        <w:rPr>
          <w:rFonts w:ascii="Times New Roman" w:hAnsi="Times New Roman" w:cs="Times New Roman"/>
          <w:lang w:val="sr-Cyrl-RS"/>
        </w:rPr>
        <w:t>еката које су у прилогу процене (уколико их има)</w:t>
      </w:r>
      <w:r w:rsidRPr="00200DDA">
        <w:rPr>
          <w:rFonts w:ascii="Times New Roman" w:hAnsi="Times New Roman" w:cs="Times New Roman"/>
          <w:lang w:val="sr-Cyrl-RS"/>
        </w:rPr>
        <w:t>;</w:t>
      </w:r>
    </w:p>
    <w:p w:rsidR="00E15B9C" w:rsidRPr="00200DDA" w:rsidRDefault="00E15B9C" w:rsidP="00200DDA">
      <w:pPr>
        <w:pStyle w:val="ListParagraph"/>
        <w:numPr>
          <w:ilvl w:val="0"/>
          <w:numId w:val="8"/>
        </w:numPr>
        <w:spacing w:after="0" w:line="240" w:lineRule="auto"/>
        <w:jc w:val="both"/>
        <w:rPr>
          <w:rFonts w:ascii="Times New Roman" w:hAnsi="Times New Roman" w:cs="Times New Roman"/>
          <w:lang w:val="sr-Cyrl-RS"/>
        </w:rPr>
      </w:pPr>
      <w:r w:rsidRPr="00200DDA">
        <w:rPr>
          <w:rFonts w:ascii="Times New Roman" w:hAnsi="Times New Roman" w:cs="Times New Roman"/>
          <w:lang w:val="sr-Cyrl-RS"/>
        </w:rPr>
        <w:t>процена удела у зависним предузећима са ликвидационом вредношћу нула, без детаљне анализе и процене зависних предузећа;</w:t>
      </w:r>
    </w:p>
    <w:p w:rsidR="00DA1B54" w:rsidRPr="007E18EE" w:rsidRDefault="00DA1B54" w:rsidP="00200DDA">
      <w:pPr>
        <w:pStyle w:val="ListParagraph"/>
        <w:numPr>
          <w:ilvl w:val="0"/>
          <w:numId w:val="8"/>
        </w:numPr>
        <w:spacing w:after="0" w:line="240" w:lineRule="auto"/>
        <w:jc w:val="both"/>
        <w:rPr>
          <w:sz w:val="20"/>
          <w:szCs w:val="20"/>
          <w:lang w:val="sr-Cyrl-RS"/>
        </w:rPr>
      </w:pPr>
      <w:r w:rsidRPr="00200DDA">
        <w:rPr>
          <w:rFonts w:ascii="Times New Roman" w:hAnsi="Times New Roman" w:cs="Times New Roman"/>
          <w:lang w:val="sr-Cyrl-RS"/>
        </w:rPr>
        <w:t xml:space="preserve">с обзиром да стечајни управник може сам да изврши процену, има и случајева да се изврши процена објекта у својини стечајног дужника, на земљишту у својини стечајног дужника, тако да је приземни објекат у основи веће површине него што је сама парцела </w:t>
      </w:r>
      <w:r w:rsidR="00CB0816">
        <w:rPr>
          <w:rFonts w:ascii="Times New Roman" w:hAnsi="Times New Roman" w:cs="Times New Roman"/>
          <w:lang w:val="sr-Cyrl-RS"/>
        </w:rPr>
        <w:t>итд.</w:t>
      </w:r>
    </w:p>
    <w:p w:rsidR="00153B43" w:rsidRPr="00153B43" w:rsidRDefault="00153B43" w:rsidP="00200DDA">
      <w:pPr>
        <w:pStyle w:val="ListParagraph"/>
        <w:spacing w:after="0" w:line="240" w:lineRule="auto"/>
        <w:jc w:val="both"/>
        <w:rPr>
          <w:rFonts w:ascii="Times New Roman" w:hAnsi="Times New Roman" w:cs="Times New Roman"/>
          <w:lang w:val="sr-Cyrl-RS"/>
        </w:rPr>
      </w:pPr>
    </w:p>
    <w:p w:rsidR="00C42597" w:rsidRDefault="007C6620" w:rsidP="00C42597">
      <w:pPr>
        <w:spacing w:before="120" w:after="0" w:line="240" w:lineRule="auto"/>
        <w:jc w:val="both"/>
        <w:rPr>
          <w:rFonts w:ascii="Times New Roman" w:eastAsiaTheme="minorEastAsia" w:hAnsi="Times New Roman" w:cs="Times New Roman"/>
          <w:color w:val="000000" w:themeColor="text1"/>
          <w:kern w:val="24"/>
          <w:lang w:val="ru-RU"/>
        </w:rPr>
      </w:pPr>
      <w:r w:rsidRPr="00C42597">
        <w:rPr>
          <w:rFonts w:ascii="Times New Roman" w:hAnsi="Times New Roman" w:cs="Times New Roman"/>
          <w:lang w:val="sr-Cyrl-RS"/>
        </w:rPr>
        <w:t xml:space="preserve">Иако до доношења решења о банкротству, стечајни управник не може оглашавати продају имовине стечајног дужника (осим кварљиве робе) већ у првим данима од отварања стечаја може </w:t>
      </w:r>
      <w:r w:rsidR="00C42597" w:rsidRPr="00C42597">
        <w:rPr>
          <w:rFonts w:ascii="Times New Roman" w:hAnsi="Times New Roman" w:cs="Times New Roman"/>
          <w:lang w:val="sr-Cyrl-RS"/>
        </w:rPr>
        <w:t>имати слику о томе да ли би</w:t>
      </w:r>
      <w:r w:rsidRPr="00C42597">
        <w:rPr>
          <w:rFonts w:ascii="Times New Roman" w:hAnsi="Times New Roman" w:cs="Times New Roman"/>
          <w:lang w:val="sr-Cyrl-RS"/>
        </w:rPr>
        <w:t xml:space="preserve"> повољнија била продаја стечајног дужника као правног лица или појединач</w:t>
      </w:r>
      <w:r w:rsidR="000C368C" w:rsidRPr="00C42597">
        <w:rPr>
          <w:rFonts w:ascii="Times New Roman" w:hAnsi="Times New Roman" w:cs="Times New Roman"/>
          <w:lang w:val="sr-Cyrl-RS"/>
        </w:rPr>
        <w:t>них делова имовине</w:t>
      </w:r>
      <w:r w:rsidR="00C42597" w:rsidRPr="00C42597">
        <w:rPr>
          <w:rFonts w:ascii="Times New Roman" w:hAnsi="Times New Roman" w:cs="Times New Roman"/>
          <w:lang w:val="sr-Cyrl-RS"/>
        </w:rPr>
        <w:t xml:space="preserve">. </w:t>
      </w:r>
      <w:r w:rsidR="00542B3D">
        <w:rPr>
          <w:rFonts w:ascii="Times New Roman" w:hAnsi="Times New Roman" w:cs="Times New Roman"/>
          <w:lang w:val="sr-Cyrl-RS"/>
        </w:rPr>
        <w:t xml:space="preserve">Националним стандардом број 2 предвиђено је да, </w:t>
      </w:r>
      <w:r w:rsidR="00542B3D">
        <w:rPr>
          <w:rFonts w:ascii="Times New Roman" w:eastAsiaTheme="minorEastAsia" w:hAnsi="Times New Roman" w:cs="Times New Roman"/>
          <w:color w:val="000000" w:themeColor="text1"/>
          <w:kern w:val="24"/>
          <w:lang w:val="ru-RU"/>
        </w:rPr>
        <w:t>у</w:t>
      </w:r>
      <w:r w:rsidR="00C42597" w:rsidRPr="00C42597">
        <w:rPr>
          <w:rFonts w:ascii="Times New Roman" w:eastAsiaTheme="minorEastAsia" w:hAnsi="Times New Roman" w:cs="Times New Roman"/>
          <w:color w:val="000000" w:themeColor="text1"/>
          <w:kern w:val="24"/>
          <w:lang w:val="ru-RU"/>
        </w:rPr>
        <w:t>колико је делатност стечајног дужника таква да би продаја сте</w:t>
      </w:r>
      <w:r w:rsidR="00542B3D">
        <w:rPr>
          <w:rFonts w:ascii="Times New Roman" w:eastAsiaTheme="minorEastAsia" w:hAnsi="Times New Roman" w:cs="Times New Roman"/>
          <w:color w:val="000000" w:themeColor="text1"/>
          <w:kern w:val="24"/>
          <w:lang w:val="ru-RU"/>
        </w:rPr>
        <w:t>чајног дужника као правног лица</w:t>
      </w:r>
      <w:r w:rsidR="00C42597" w:rsidRPr="00C42597">
        <w:rPr>
          <w:rFonts w:ascii="Times New Roman" w:eastAsiaTheme="minorEastAsia" w:hAnsi="Times New Roman" w:cs="Times New Roman"/>
          <w:color w:val="000000" w:themeColor="text1"/>
          <w:kern w:val="24"/>
          <w:lang w:val="ru-RU"/>
        </w:rPr>
        <w:t xml:space="preserve"> омогућила повољније намирење поверилаца, поред процене појединачних делова имовине, врши се и процена стечајног дужника као правног лица. У овом случају, за потребе процене користи се приносни метод (метод дисконтованих новчаних токова), као и друге методе које су у складу са Међународним рачуноводственим стандардима.</w:t>
      </w:r>
      <w:r w:rsidR="008D16C8">
        <w:rPr>
          <w:rFonts w:ascii="Times New Roman" w:eastAsiaTheme="minorEastAsia" w:hAnsi="Times New Roman" w:cs="Times New Roman"/>
          <w:color w:val="000000" w:themeColor="text1"/>
          <w:kern w:val="24"/>
          <w:lang w:val="ru-RU"/>
        </w:rPr>
        <w:t xml:space="preserve"> </w:t>
      </w:r>
    </w:p>
    <w:p w:rsidR="007A677A" w:rsidRDefault="007A677A" w:rsidP="00C83DB9">
      <w:pPr>
        <w:spacing w:after="0" w:line="240" w:lineRule="auto"/>
        <w:jc w:val="both"/>
        <w:rPr>
          <w:sz w:val="20"/>
          <w:szCs w:val="20"/>
          <w:lang w:val="sr-Cyrl-RS"/>
        </w:rPr>
      </w:pPr>
    </w:p>
    <w:p w:rsidR="007A677A" w:rsidRDefault="007A677A" w:rsidP="00C83DB9">
      <w:pPr>
        <w:spacing w:after="0" w:line="240" w:lineRule="auto"/>
        <w:jc w:val="both"/>
        <w:rPr>
          <w:rFonts w:ascii="Times New Roman" w:hAnsi="Times New Roman" w:cs="Times New Roman"/>
          <w:lang w:val="sr-Cyrl-RS"/>
        </w:rPr>
      </w:pPr>
      <w:bookmarkStart w:id="0" w:name="_GoBack"/>
      <w:r w:rsidRPr="007A677A">
        <w:rPr>
          <w:rFonts w:ascii="Times New Roman" w:hAnsi="Times New Roman" w:cs="Times New Roman"/>
          <w:lang w:val="sr-Cyrl-RS"/>
        </w:rPr>
        <w:t xml:space="preserve">Уколико </w:t>
      </w:r>
      <w:r>
        <w:rPr>
          <w:rFonts w:ascii="Times New Roman" w:hAnsi="Times New Roman" w:cs="Times New Roman"/>
          <w:lang w:val="sr-Cyrl-RS"/>
        </w:rPr>
        <w:t>је стечајни управник мишљења</w:t>
      </w:r>
      <w:r w:rsidRPr="007A677A">
        <w:rPr>
          <w:rFonts w:ascii="Times New Roman" w:hAnsi="Times New Roman" w:cs="Times New Roman"/>
          <w:lang w:val="sr-Cyrl-RS"/>
        </w:rPr>
        <w:t xml:space="preserve"> </w:t>
      </w:r>
      <w:r w:rsidRPr="00C42597">
        <w:rPr>
          <w:rFonts w:ascii="Times New Roman" w:eastAsiaTheme="minorEastAsia" w:hAnsi="Times New Roman" w:cs="Times New Roman"/>
          <w:color w:val="000000" w:themeColor="text1"/>
          <w:kern w:val="24"/>
          <w:lang w:val="ru-RU"/>
        </w:rPr>
        <w:t>да би продаја сте</w:t>
      </w:r>
      <w:r>
        <w:rPr>
          <w:rFonts w:ascii="Times New Roman" w:eastAsiaTheme="minorEastAsia" w:hAnsi="Times New Roman" w:cs="Times New Roman"/>
          <w:color w:val="000000" w:themeColor="text1"/>
          <w:kern w:val="24"/>
          <w:lang w:val="ru-RU"/>
        </w:rPr>
        <w:t>чајног дужника као правног лица</w:t>
      </w:r>
      <w:r w:rsidRPr="00C42597">
        <w:rPr>
          <w:rFonts w:ascii="Times New Roman" w:eastAsiaTheme="minorEastAsia" w:hAnsi="Times New Roman" w:cs="Times New Roman"/>
          <w:color w:val="000000" w:themeColor="text1"/>
          <w:kern w:val="24"/>
          <w:lang w:val="ru-RU"/>
        </w:rPr>
        <w:t xml:space="preserve"> омогућила повољније намирење поверилаца</w:t>
      </w:r>
      <w:r w:rsidRPr="007A677A">
        <w:rPr>
          <w:rFonts w:ascii="Times New Roman" w:hAnsi="Times New Roman" w:cs="Times New Roman"/>
          <w:lang w:val="sr-Cyrl-RS"/>
        </w:rPr>
        <w:t xml:space="preserve">, </w:t>
      </w:r>
      <w:r w:rsidR="00C83DB9">
        <w:rPr>
          <w:rFonts w:ascii="Times New Roman" w:hAnsi="Times New Roman" w:cs="Times New Roman"/>
          <w:lang w:val="sr-Cyrl-RS"/>
        </w:rPr>
        <w:t>након сагласности одбора поверилаца и обавештав</w:t>
      </w:r>
      <w:r w:rsidR="00E84070">
        <w:rPr>
          <w:rFonts w:ascii="Times New Roman" w:hAnsi="Times New Roman" w:cs="Times New Roman"/>
          <w:lang w:val="sr-Cyrl-RS"/>
        </w:rPr>
        <w:t>а</w:t>
      </w:r>
      <w:r w:rsidR="00C83DB9">
        <w:rPr>
          <w:rFonts w:ascii="Times New Roman" w:hAnsi="Times New Roman" w:cs="Times New Roman"/>
          <w:lang w:val="sr-Cyrl-RS"/>
        </w:rPr>
        <w:t>ња разлучних и заложних поверилаца, ангажује</w:t>
      </w:r>
      <w:r w:rsidRPr="007A677A">
        <w:rPr>
          <w:rFonts w:ascii="Times New Roman" w:hAnsi="Times New Roman" w:cs="Times New Roman"/>
          <w:lang w:val="sr-Cyrl-RS"/>
        </w:rPr>
        <w:t xml:space="preserve"> </w:t>
      </w:r>
      <w:r w:rsidR="00E84070">
        <w:rPr>
          <w:rFonts w:ascii="Times New Roman" w:hAnsi="Times New Roman" w:cs="Times New Roman"/>
          <w:lang w:val="sr-Cyrl-RS"/>
        </w:rPr>
        <w:t>проценитељ</w:t>
      </w:r>
      <w:r>
        <w:rPr>
          <w:rFonts w:ascii="Times New Roman" w:hAnsi="Times New Roman" w:cs="Times New Roman"/>
          <w:lang w:val="sr-Cyrl-RS"/>
        </w:rPr>
        <w:t>а, који</w:t>
      </w:r>
      <w:r w:rsidRPr="007A677A">
        <w:rPr>
          <w:rFonts w:ascii="Times New Roman" w:hAnsi="Times New Roman" w:cs="Times New Roman"/>
          <w:lang w:val="sr-Cyrl-RS"/>
        </w:rPr>
        <w:t xml:space="preserve"> треба да уради:</w:t>
      </w:r>
      <w:bookmarkEnd w:id="0"/>
    </w:p>
    <w:p w:rsidR="00C83DB9" w:rsidRPr="007A677A" w:rsidRDefault="00C83DB9" w:rsidP="00C83DB9">
      <w:pPr>
        <w:spacing w:after="0" w:line="240" w:lineRule="auto"/>
        <w:jc w:val="both"/>
        <w:rPr>
          <w:rFonts w:ascii="Times New Roman" w:hAnsi="Times New Roman" w:cs="Times New Roman"/>
          <w:lang w:val="sr-Cyrl-RS"/>
        </w:rPr>
      </w:pPr>
    </w:p>
    <w:p w:rsidR="007A677A" w:rsidRDefault="007A677A" w:rsidP="00C83DB9">
      <w:pPr>
        <w:pStyle w:val="ListParagraph"/>
        <w:numPr>
          <w:ilvl w:val="0"/>
          <w:numId w:val="18"/>
        </w:numPr>
        <w:spacing w:after="0" w:line="240" w:lineRule="auto"/>
        <w:ind w:left="0" w:firstLine="0"/>
        <w:jc w:val="both"/>
        <w:rPr>
          <w:rFonts w:ascii="Times New Roman" w:hAnsi="Times New Roman" w:cs="Times New Roman"/>
          <w:lang w:val="sr-Cyrl-RS"/>
        </w:rPr>
      </w:pPr>
      <w:r w:rsidRPr="007A677A">
        <w:rPr>
          <w:rFonts w:ascii="Times New Roman" w:hAnsi="Times New Roman" w:cs="Times New Roman"/>
          <w:lang w:val="sr-Cyrl-RS"/>
        </w:rPr>
        <w:t>Процену имовине по ЛВ методи;</w:t>
      </w:r>
    </w:p>
    <w:p w:rsidR="00DD26A9" w:rsidRPr="00DD26A9" w:rsidRDefault="007A677A" w:rsidP="00DD26A9">
      <w:pPr>
        <w:pStyle w:val="ListParagraph"/>
        <w:numPr>
          <w:ilvl w:val="0"/>
          <w:numId w:val="18"/>
        </w:numPr>
        <w:spacing w:after="0" w:line="240" w:lineRule="auto"/>
        <w:ind w:left="0" w:firstLine="0"/>
        <w:jc w:val="both"/>
        <w:rPr>
          <w:rFonts w:ascii="Times New Roman" w:hAnsi="Times New Roman" w:cs="Times New Roman"/>
          <w:lang w:val="sr-Cyrl-RS"/>
        </w:rPr>
      </w:pPr>
      <w:r w:rsidRPr="007A677A">
        <w:rPr>
          <w:rFonts w:ascii="Times New Roman" w:hAnsi="Times New Roman" w:cs="Times New Roman"/>
          <w:lang w:val="sr-Cyrl-RS"/>
        </w:rPr>
        <w:t>Процену правног лица</w:t>
      </w:r>
      <w:r w:rsidRPr="007A677A">
        <w:rPr>
          <w:rFonts w:ascii="Times New Roman" w:hAnsi="Times New Roman" w:cs="Times New Roman"/>
        </w:rPr>
        <w:t xml:space="preserve">, </w:t>
      </w:r>
      <w:r w:rsidRPr="007A677A">
        <w:rPr>
          <w:rFonts w:ascii="Times New Roman" w:hAnsi="Times New Roman" w:cs="Times New Roman"/>
          <w:lang w:val="sr-Cyrl-RS"/>
        </w:rPr>
        <w:t xml:space="preserve">коју проценитељи зависно од специфичности стечајног дужника и </w:t>
      </w:r>
      <w:r w:rsidRPr="007A677A">
        <w:rPr>
          <w:rFonts w:ascii="Times New Roman" w:hAnsi="Times New Roman" w:cs="Times New Roman"/>
          <w:b/>
          <w:lang w:val="sr-Cyrl-RS"/>
        </w:rPr>
        <w:t xml:space="preserve">стручности </w:t>
      </w:r>
      <w:r w:rsidRPr="007A677A">
        <w:rPr>
          <w:rFonts w:ascii="Times New Roman" w:hAnsi="Times New Roman" w:cs="Times New Roman"/>
          <w:lang w:val="sr-Cyrl-RS"/>
        </w:rPr>
        <w:t>углавном раде по</w:t>
      </w:r>
      <w:r w:rsidRPr="007A677A">
        <w:rPr>
          <w:rFonts w:ascii="Times New Roman" w:hAnsi="Times New Roman" w:cs="Times New Roman"/>
          <w:b/>
          <w:lang w:val="sr-Cyrl-RS"/>
        </w:rPr>
        <w:t xml:space="preserve"> </w:t>
      </w:r>
      <w:r w:rsidRPr="007A677A">
        <w:rPr>
          <w:rFonts w:ascii="Times New Roman" w:hAnsi="Times New Roman" w:cs="Times New Roman"/>
          <w:lang w:val="sr-Cyrl-RS"/>
        </w:rPr>
        <w:t>ЛВ методи и ДНТ методи</w:t>
      </w:r>
      <w:r w:rsidR="00DD26A9">
        <w:rPr>
          <w:rFonts w:ascii="Times New Roman" w:hAnsi="Times New Roman" w:cs="Times New Roman"/>
          <w:lang w:val="sr-Latn-RS"/>
        </w:rPr>
        <w:t>.</w:t>
      </w:r>
    </w:p>
    <w:p w:rsidR="007A677A" w:rsidRPr="007A677A" w:rsidRDefault="00DD26A9" w:rsidP="00DD26A9">
      <w:pPr>
        <w:pStyle w:val="ListParagraph"/>
        <w:spacing w:after="0" w:line="240" w:lineRule="auto"/>
        <w:ind w:left="0"/>
        <w:jc w:val="both"/>
        <w:rPr>
          <w:rFonts w:ascii="Times New Roman" w:hAnsi="Times New Roman" w:cs="Times New Roman"/>
          <w:lang w:val="sr-Cyrl-RS"/>
        </w:rPr>
      </w:pPr>
      <w:r w:rsidRPr="007A677A">
        <w:rPr>
          <w:rFonts w:ascii="Times New Roman" w:hAnsi="Times New Roman" w:cs="Times New Roman"/>
          <w:lang w:val="sr-Cyrl-RS"/>
        </w:rPr>
        <w:t xml:space="preserve"> </w:t>
      </w:r>
    </w:p>
    <w:p w:rsidR="007A677A" w:rsidRPr="007A677A" w:rsidRDefault="007A677A" w:rsidP="00C83DB9">
      <w:pPr>
        <w:spacing w:after="0" w:line="240" w:lineRule="auto"/>
        <w:jc w:val="both"/>
        <w:rPr>
          <w:rFonts w:ascii="Times New Roman" w:hAnsi="Times New Roman" w:cs="Times New Roman"/>
          <w:lang w:val="sr-Cyrl-RS"/>
        </w:rPr>
      </w:pPr>
      <w:r w:rsidRPr="007A677A">
        <w:rPr>
          <w:rFonts w:ascii="Times New Roman" w:hAnsi="Times New Roman" w:cs="Times New Roman"/>
          <w:lang w:val="sr-Cyrl-RS"/>
        </w:rPr>
        <w:t>Процену стечајног дужника као правног лица треба радити у случајевима када стечајни дужник има делатност и који може да ради</w:t>
      </w:r>
      <w:r w:rsidR="00C83DB9">
        <w:rPr>
          <w:rFonts w:ascii="Times New Roman" w:hAnsi="Times New Roman" w:cs="Times New Roman"/>
          <w:lang w:val="sr-Cyrl-RS"/>
        </w:rPr>
        <w:t xml:space="preserve">, </w:t>
      </w:r>
      <w:r w:rsidR="00142A90">
        <w:rPr>
          <w:rFonts w:ascii="Times New Roman" w:hAnsi="Times New Roman" w:cs="Times New Roman"/>
          <w:lang w:val="sr-Cyrl-RS"/>
        </w:rPr>
        <w:t xml:space="preserve"> </w:t>
      </w:r>
      <w:r w:rsidR="00C83DB9">
        <w:rPr>
          <w:rFonts w:ascii="Times New Roman" w:hAnsi="Times New Roman" w:cs="Times New Roman"/>
          <w:lang w:val="sr-Cyrl-RS"/>
        </w:rPr>
        <w:t>као</w:t>
      </w:r>
      <w:r w:rsidRPr="007A677A">
        <w:rPr>
          <w:rFonts w:ascii="Times New Roman" w:hAnsi="Times New Roman" w:cs="Times New Roman"/>
          <w:lang w:val="sr-Cyrl-RS"/>
        </w:rPr>
        <w:t xml:space="preserve"> и у </w:t>
      </w:r>
      <w:r w:rsidRPr="007A677A">
        <w:rPr>
          <w:rFonts w:ascii="Times New Roman" w:hAnsi="Times New Roman" w:cs="Times New Roman"/>
          <w:u w:val="single"/>
          <w:lang w:val="sr-Cyrl-RS"/>
        </w:rPr>
        <w:t>изузетно екстремним</w:t>
      </w:r>
      <w:r w:rsidRPr="007A677A">
        <w:rPr>
          <w:rFonts w:ascii="Times New Roman" w:hAnsi="Times New Roman" w:cs="Times New Roman"/>
          <w:lang w:val="sr-Cyrl-RS"/>
        </w:rPr>
        <w:t xml:space="preserve"> случајевима када је сва имовина у спору и не може се продати имовина стечајног дужника.</w:t>
      </w:r>
    </w:p>
    <w:p w:rsidR="007A677A" w:rsidRPr="007A677A" w:rsidRDefault="007A677A" w:rsidP="00C83DB9">
      <w:pPr>
        <w:spacing w:after="0" w:line="240" w:lineRule="auto"/>
        <w:jc w:val="both"/>
        <w:rPr>
          <w:rFonts w:ascii="Times New Roman" w:hAnsi="Times New Roman" w:cs="Times New Roman"/>
          <w:lang w:val="sr-Cyrl-RS"/>
        </w:rPr>
      </w:pPr>
    </w:p>
    <w:p w:rsidR="007A677A" w:rsidRDefault="00C83DB9" w:rsidP="00C42597">
      <w:pPr>
        <w:spacing w:before="120" w:after="0" w:line="240" w:lineRule="auto"/>
        <w:jc w:val="both"/>
        <w:rPr>
          <w:rFonts w:ascii="Times New Roman" w:hAnsi="Times New Roman" w:cs="Times New Roman"/>
          <w:lang w:val="sr-Cyrl-RS"/>
        </w:rPr>
      </w:pPr>
      <w:r>
        <w:rPr>
          <w:rFonts w:ascii="Times New Roman" w:hAnsi="Times New Roman" w:cs="Times New Roman"/>
          <w:lang w:val="sr-Cyrl-RS"/>
        </w:rPr>
        <w:t>Приликом прегледа процене стечајног дужника</w:t>
      </w:r>
      <w:r w:rsidR="00320F31">
        <w:rPr>
          <w:rFonts w:ascii="Times New Roman" w:hAnsi="Times New Roman" w:cs="Times New Roman"/>
          <w:lang w:val="sr-Cyrl-RS"/>
        </w:rPr>
        <w:t xml:space="preserve"> као правног лица</w:t>
      </w:r>
      <w:r w:rsidR="000F35D1">
        <w:rPr>
          <w:rFonts w:ascii="Times New Roman" w:hAnsi="Times New Roman" w:cs="Times New Roman"/>
          <w:lang w:val="sr-Cyrl-RS"/>
        </w:rPr>
        <w:t xml:space="preserve"> честе су</w:t>
      </w:r>
      <w:r w:rsidR="00320F31">
        <w:rPr>
          <w:rFonts w:ascii="Times New Roman" w:hAnsi="Times New Roman" w:cs="Times New Roman"/>
          <w:lang w:val="sr-Cyrl-RS"/>
        </w:rPr>
        <w:t xml:space="preserve"> и </w:t>
      </w:r>
      <w:r>
        <w:rPr>
          <w:rFonts w:ascii="Times New Roman" w:hAnsi="Times New Roman" w:cs="Times New Roman"/>
          <w:lang w:val="sr-Cyrl-RS"/>
        </w:rPr>
        <w:t>грешке, а неке од њих су:</w:t>
      </w:r>
    </w:p>
    <w:p w:rsidR="00C30EF1" w:rsidRDefault="00C30EF1" w:rsidP="00A60A29">
      <w:pPr>
        <w:pStyle w:val="ListParagraph"/>
        <w:numPr>
          <w:ilvl w:val="0"/>
          <w:numId w:val="19"/>
        </w:numPr>
        <w:spacing w:after="0" w:line="240" w:lineRule="auto"/>
        <w:jc w:val="both"/>
        <w:rPr>
          <w:rFonts w:ascii="Times New Roman" w:hAnsi="Times New Roman" w:cs="Times New Roman"/>
          <w:lang w:val="sr-Cyrl-RS"/>
        </w:rPr>
      </w:pPr>
      <w:r w:rsidRPr="0048004A">
        <w:rPr>
          <w:rFonts w:ascii="Times New Roman" w:hAnsi="Times New Roman" w:cs="Times New Roman"/>
          <w:lang w:val="sr-Cyrl-RS"/>
        </w:rPr>
        <w:t>ангажовање проценитеља који раде процену правног лица, а немају у свом тиму правника, па у процену уносе ограничења различите садржине: на пример – "документација и правни статус имовине нису предмет правне анализе" или "ова процена се не може даље дистрибуирати без сагласности проценитеља" итд; најјефтинији проценитељ може на крају бити најскупљи због изгубљеног времена на безбројне корекције процене;</w:t>
      </w:r>
    </w:p>
    <w:p w:rsidR="00A60A29" w:rsidRPr="0048004A" w:rsidRDefault="00A60A29" w:rsidP="00A60A29">
      <w:pPr>
        <w:pStyle w:val="ListParagraph"/>
        <w:spacing w:after="0" w:line="240" w:lineRule="auto"/>
        <w:jc w:val="both"/>
        <w:rPr>
          <w:rFonts w:ascii="Times New Roman" w:hAnsi="Times New Roman" w:cs="Times New Roman"/>
          <w:lang w:val="sr-Cyrl-RS"/>
        </w:rPr>
      </w:pPr>
    </w:p>
    <w:p w:rsidR="00142A90" w:rsidRDefault="00C30EF1" w:rsidP="00142A90">
      <w:pPr>
        <w:pStyle w:val="ListParagraph"/>
        <w:numPr>
          <w:ilvl w:val="0"/>
          <w:numId w:val="19"/>
        </w:numPr>
        <w:spacing w:after="0" w:line="240" w:lineRule="auto"/>
        <w:jc w:val="both"/>
        <w:rPr>
          <w:rFonts w:ascii="Times New Roman" w:hAnsi="Times New Roman" w:cs="Times New Roman"/>
          <w:lang w:val="sr-Cyrl-RS"/>
        </w:rPr>
      </w:pPr>
      <w:r w:rsidRPr="0048004A">
        <w:rPr>
          <w:rFonts w:ascii="Times New Roman" w:hAnsi="Times New Roman" w:cs="Times New Roman"/>
          <w:lang w:val="sr-Cyrl-RS"/>
        </w:rPr>
        <w:t>високи проценти "дисконта" на поједине категорије имовине (залихе, потраживања итд) у оквиру процене правног лица, без детаљне анализе истих;</w:t>
      </w:r>
    </w:p>
    <w:p w:rsidR="00142A90" w:rsidRDefault="00142A90" w:rsidP="00142A90">
      <w:pPr>
        <w:pStyle w:val="ListParagraph"/>
        <w:spacing w:after="0" w:line="240" w:lineRule="auto"/>
        <w:jc w:val="both"/>
        <w:rPr>
          <w:rFonts w:ascii="Times New Roman" w:hAnsi="Times New Roman" w:cs="Times New Roman"/>
          <w:lang w:val="sr-Cyrl-RS"/>
        </w:rPr>
      </w:pPr>
    </w:p>
    <w:p w:rsidR="00A60A29" w:rsidRDefault="00C30EF1" w:rsidP="00480B5E">
      <w:pPr>
        <w:pStyle w:val="ListParagraph"/>
        <w:numPr>
          <w:ilvl w:val="0"/>
          <w:numId w:val="19"/>
        </w:numPr>
        <w:spacing w:after="0" w:line="240" w:lineRule="auto"/>
        <w:jc w:val="both"/>
        <w:rPr>
          <w:rFonts w:ascii="Times New Roman" w:hAnsi="Times New Roman" w:cs="Times New Roman"/>
          <w:lang w:val="sr-Cyrl-RS"/>
        </w:rPr>
      </w:pPr>
      <w:r w:rsidRPr="0030684A">
        <w:rPr>
          <w:rFonts w:ascii="Times New Roman" w:hAnsi="Times New Roman" w:cs="Times New Roman"/>
          <w:lang w:val="sr-Cyrl-RS"/>
        </w:rPr>
        <w:t>проценитељи у већини случајева не процењују судске спорове у оквиру процене правног лица, али и не констатују д</w:t>
      </w:r>
      <w:r w:rsidR="0030684A">
        <w:rPr>
          <w:rFonts w:ascii="Times New Roman" w:hAnsi="Times New Roman" w:cs="Times New Roman"/>
          <w:lang w:val="sr-Cyrl-RS"/>
        </w:rPr>
        <w:t>а исти остају на стечајној маси;</w:t>
      </w:r>
    </w:p>
    <w:p w:rsidR="0030684A" w:rsidRPr="0030684A" w:rsidRDefault="0030684A" w:rsidP="0030684A">
      <w:pPr>
        <w:spacing w:after="0" w:line="240" w:lineRule="auto"/>
        <w:jc w:val="both"/>
        <w:rPr>
          <w:rFonts w:ascii="Times New Roman" w:hAnsi="Times New Roman" w:cs="Times New Roman"/>
          <w:lang w:val="sr-Cyrl-RS"/>
        </w:rPr>
      </w:pPr>
    </w:p>
    <w:p w:rsidR="00C30EF1" w:rsidRDefault="00C30EF1" w:rsidP="00A60A29">
      <w:pPr>
        <w:pStyle w:val="ListParagraph"/>
        <w:numPr>
          <w:ilvl w:val="0"/>
          <w:numId w:val="19"/>
        </w:numPr>
        <w:spacing w:after="0" w:line="240" w:lineRule="auto"/>
        <w:jc w:val="both"/>
        <w:rPr>
          <w:rFonts w:ascii="Times New Roman" w:hAnsi="Times New Roman" w:cs="Times New Roman"/>
          <w:lang w:val="sr-Cyrl-RS"/>
        </w:rPr>
      </w:pPr>
      <w:r w:rsidRPr="0048004A">
        <w:rPr>
          <w:rFonts w:ascii="Times New Roman" w:hAnsi="Times New Roman" w:cs="Times New Roman"/>
          <w:lang w:val="sr-Cyrl-RS"/>
        </w:rPr>
        <w:t xml:space="preserve">проценитељи процењују у оквиру процене правног лица и </w:t>
      </w:r>
      <w:r w:rsidR="00672C9B">
        <w:rPr>
          <w:rFonts w:ascii="Times New Roman" w:hAnsi="Times New Roman" w:cs="Times New Roman"/>
          <w:lang w:val="sr-Cyrl-RS"/>
        </w:rPr>
        <w:t>објекте које стечајни дужник користи</w:t>
      </w:r>
      <w:r w:rsidR="00142A90">
        <w:rPr>
          <w:rFonts w:ascii="Times New Roman" w:hAnsi="Times New Roman" w:cs="Times New Roman"/>
          <w:lang w:val="sr-Cyrl-RS"/>
        </w:rPr>
        <w:t>,</w:t>
      </w:r>
      <w:r w:rsidR="00672C9B">
        <w:rPr>
          <w:rFonts w:ascii="Times New Roman" w:hAnsi="Times New Roman" w:cs="Times New Roman"/>
          <w:lang w:val="sr-Cyrl-RS"/>
        </w:rPr>
        <w:t xml:space="preserve"> а који нису у његовој својини, већ </w:t>
      </w:r>
      <w:r w:rsidRPr="0048004A">
        <w:rPr>
          <w:rFonts w:ascii="Times New Roman" w:hAnsi="Times New Roman" w:cs="Times New Roman"/>
          <w:lang w:val="sr-Cyrl-RS"/>
        </w:rPr>
        <w:t xml:space="preserve"> уписани као државна својина, на државном земљишту, али су евидентирани у књиговодству стечајног дужника;</w:t>
      </w:r>
    </w:p>
    <w:p w:rsidR="00142A90" w:rsidRPr="0048004A" w:rsidRDefault="00142A90" w:rsidP="00142A90">
      <w:pPr>
        <w:pStyle w:val="ListParagraph"/>
        <w:spacing w:after="0" w:line="240" w:lineRule="auto"/>
        <w:jc w:val="both"/>
        <w:rPr>
          <w:rFonts w:ascii="Times New Roman" w:hAnsi="Times New Roman" w:cs="Times New Roman"/>
          <w:lang w:val="sr-Cyrl-RS"/>
        </w:rPr>
      </w:pPr>
    </w:p>
    <w:p w:rsidR="00C30EF1" w:rsidRDefault="00C30EF1" w:rsidP="00A60A29">
      <w:pPr>
        <w:pStyle w:val="ListParagraph"/>
        <w:numPr>
          <w:ilvl w:val="0"/>
          <w:numId w:val="19"/>
        </w:numPr>
        <w:spacing w:after="0" w:line="240" w:lineRule="auto"/>
        <w:jc w:val="both"/>
        <w:rPr>
          <w:rFonts w:ascii="Times New Roman" w:hAnsi="Times New Roman" w:cs="Times New Roman"/>
          <w:lang w:val="sr-Cyrl-RS"/>
        </w:rPr>
      </w:pPr>
      <w:r w:rsidRPr="0048004A">
        <w:rPr>
          <w:rFonts w:ascii="Times New Roman" w:hAnsi="Times New Roman" w:cs="Times New Roman"/>
          <w:lang w:val="sr-Cyrl-RS"/>
        </w:rPr>
        <w:t>проценитељи наводе да врше процену капитала, што је терминолошки неисправно, јер капитал као рачуноводствена категорија представља разлику између имовине и обавеза, а обавезе се у стечају не процењују;</w:t>
      </w:r>
    </w:p>
    <w:p w:rsidR="00A60A29" w:rsidRPr="0048004A" w:rsidRDefault="00A60A29" w:rsidP="00A60A29">
      <w:pPr>
        <w:pStyle w:val="ListParagraph"/>
        <w:spacing w:after="0" w:line="240" w:lineRule="auto"/>
        <w:jc w:val="both"/>
        <w:rPr>
          <w:rFonts w:ascii="Times New Roman" w:hAnsi="Times New Roman" w:cs="Times New Roman"/>
          <w:lang w:val="sr-Cyrl-RS"/>
        </w:rPr>
      </w:pPr>
    </w:p>
    <w:p w:rsidR="0048004A" w:rsidRPr="0048004A" w:rsidRDefault="0048004A" w:rsidP="00A60A29">
      <w:pPr>
        <w:pStyle w:val="ListParagraph"/>
        <w:numPr>
          <w:ilvl w:val="0"/>
          <w:numId w:val="19"/>
        </w:numPr>
        <w:spacing w:after="0" w:line="240" w:lineRule="auto"/>
        <w:jc w:val="both"/>
        <w:rPr>
          <w:rFonts w:ascii="Times New Roman" w:hAnsi="Times New Roman" w:cs="Times New Roman"/>
          <w:lang w:val="sr-Cyrl-RS"/>
        </w:rPr>
      </w:pPr>
      <w:r w:rsidRPr="0048004A">
        <w:rPr>
          <w:rFonts w:ascii="Times New Roman" w:hAnsi="Times New Roman" w:cs="Times New Roman"/>
          <w:lang w:val="sr-Cyrl-RS"/>
        </w:rPr>
        <w:t>процена правног лица тако што су објекте груписани по целинама и урађена "инт</w:t>
      </w:r>
      <w:r w:rsidR="00142A90">
        <w:rPr>
          <w:rFonts w:ascii="Times New Roman" w:hAnsi="Times New Roman" w:cs="Times New Roman"/>
          <w:lang w:val="sr-Cyrl-RS"/>
        </w:rPr>
        <w:t>ерна препарцелација</w:t>
      </w:r>
      <w:r w:rsidRPr="0048004A">
        <w:rPr>
          <w:rFonts w:ascii="Times New Roman" w:hAnsi="Times New Roman" w:cs="Times New Roman"/>
          <w:lang w:val="sr-Cyrl-RS"/>
        </w:rPr>
        <w:t>" земљишта и то тако што је препарцелисана катастарска парцела у својини РС на којој стечајни дужник има право коришћења, з</w:t>
      </w:r>
      <w:r w:rsidR="00142A90">
        <w:rPr>
          <w:rFonts w:ascii="Times New Roman" w:hAnsi="Times New Roman" w:cs="Times New Roman"/>
          <w:lang w:val="sr-Cyrl-RS"/>
        </w:rPr>
        <w:t>атим катастарска парцела на кој</w:t>
      </w:r>
      <w:r w:rsidRPr="0048004A">
        <w:rPr>
          <w:rFonts w:ascii="Times New Roman" w:hAnsi="Times New Roman" w:cs="Times New Roman"/>
          <w:lang w:val="sr-Cyrl-RS"/>
        </w:rPr>
        <w:t>ој је уписано друго правно лице али се на истој налазе објекти стечајног дужника и катастарска парце</w:t>
      </w:r>
      <w:r w:rsidR="00A60A29">
        <w:rPr>
          <w:rFonts w:ascii="Times New Roman" w:hAnsi="Times New Roman" w:cs="Times New Roman"/>
          <w:lang w:val="sr-Cyrl-RS"/>
        </w:rPr>
        <w:t>ла у својини стечајног дужника.</w:t>
      </w:r>
    </w:p>
    <w:p w:rsidR="00AE7E3B" w:rsidRDefault="00CF3184" w:rsidP="00760F3E">
      <w:pPr>
        <w:pStyle w:val="NormalWeb"/>
        <w:spacing w:before="120" w:beforeAutospacing="0" w:after="0" w:afterAutospacing="0"/>
        <w:jc w:val="both"/>
        <w:rPr>
          <w:sz w:val="22"/>
          <w:szCs w:val="22"/>
          <w:lang w:val="sr-Cyrl-RS"/>
        </w:rPr>
      </w:pPr>
      <w:r w:rsidRPr="00013C05">
        <w:rPr>
          <w:sz w:val="22"/>
          <w:szCs w:val="22"/>
          <w:lang w:val="sr-Cyrl-RS"/>
        </w:rPr>
        <w:t>Резултат погрешне процене вредности имовине стечајног дужника је погрешан почетни стечајни биланс, који може код поверилаца створити погрешну слику о могућности намирења њихових потраживања</w:t>
      </w:r>
      <w:r w:rsidR="00D0085B" w:rsidRPr="00013C05">
        <w:rPr>
          <w:sz w:val="22"/>
          <w:szCs w:val="22"/>
          <w:lang w:val="sr-Cyrl-RS"/>
        </w:rPr>
        <w:t xml:space="preserve">, као </w:t>
      </w:r>
      <w:r w:rsidR="005F6567" w:rsidRPr="00013C05">
        <w:rPr>
          <w:sz w:val="22"/>
          <w:szCs w:val="22"/>
          <w:lang w:val="sr-Cyrl-RS"/>
        </w:rPr>
        <w:t>и о одлучивању о даљем току</w:t>
      </w:r>
      <w:r w:rsidR="00D0085B" w:rsidRPr="00013C05">
        <w:rPr>
          <w:sz w:val="22"/>
          <w:szCs w:val="22"/>
          <w:lang w:val="sr-Cyrl-RS"/>
        </w:rPr>
        <w:t xml:space="preserve"> стечајног поступка</w:t>
      </w:r>
      <w:r w:rsidRPr="00013C05">
        <w:rPr>
          <w:sz w:val="22"/>
          <w:szCs w:val="22"/>
          <w:lang w:val="sr-Cyrl-RS"/>
        </w:rPr>
        <w:t>.</w:t>
      </w:r>
    </w:p>
    <w:p w:rsidR="00AD4595" w:rsidRDefault="00AD4595" w:rsidP="00AD4595">
      <w:pPr>
        <w:spacing w:after="0" w:line="240" w:lineRule="auto"/>
        <w:jc w:val="both"/>
        <w:rPr>
          <w:rFonts w:ascii="Times New Roman" w:hAnsi="Times New Roman" w:cs="Times New Roman"/>
          <w:lang w:val="sr-Cyrl-RS"/>
        </w:rPr>
      </w:pPr>
    </w:p>
    <w:p w:rsidR="00AD4595" w:rsidRDefault="00AD4595" w:rsidP="00AD4595">
      <w:pPr>
        <w:spacing w:after="0" w:line="240" w:lineRule="auto"/>
        <w:jc w:val="both"/>
        <w:rPr>
          <w:rFonts w:ascii="Times New Roman" w:hAnsi="Times New Roman" w:cs="Times New Roman"/>
          <w:lang w:val="sr-Cyrl-RS"/>
        </w:rPr>
      </w:pPr>
      <w:r>
        <w:rPr>
          <w:rFonts w:ascii="Times New Roman" w:hAnsi="Times New Roman" w:cs="Times New Roman"/>
          <w:lang w:val="sr-Cyrl-RS"/>
        </w:rPr>
        <w:t>Специфичност код процена вредности представљају и</w:t>
      </w:r>
      <w:r w:rsidRPr="00AE7E3B">
        <w:rPr>
          <w:rFonts w:ascii="Times New Roman" w:hAnsi="Times New Roman" w:cs="Times New Roman"/>
          <w:lang w:val="sr-Cyrl-RS"/>
        </w:rPr>
        <w:t xml:space="preserve"> потраживања стечајног дужника од ње</w:t>
      </w:r>
      <w:r>
        <w:rPr>
          <w:rFonts w:ascii="Times New Roman" w:hAnsi="Times New Roman" w:cs="Times New Roman"/>
          <w:lang w:val="sr-Cyrl-RS"/>
        </w:rPr>
        <w:t xml:space="preserve">гових дужника.  Она су </w:t>
      </w:r>
      <w:r w:rsidR="00BA5E18">
        <w:rPr>
          <w:rFonts w:ascii="Times New Roman" w:hAnsi="Times New Roman" w:cs="Times New Roman"/>
          <w:lang w:val="sr-Cyrl-RS"/>
        </w:rPr>
        <w:t>део имовине који није у  државини стечајног дужника</w:t>
      </w:r>
      <w:r w:rsidRPr="00AE7E3B">
        <w:rPr>
          <w:rFonts w:ascii="Times New Roman" w:hAnsi="Times New Roman" w:cs="Times New Roman"/>
          <w:lang w:val="sr-Cyrl-RS"/>
        </w:rPr>
        <w:t xml:space="preserve">; подложнија су променама, тј. пропасти, те је зато законодавац </w:t>
      </w:r>
      <w:r w:rsidR="00567D27">
        <w:rPr>
          <w:rFonts w:ascii="Times New Roman" w:hAnsi="Times New Roman" w:cs="Times New Roman"/>
          <w:lang w:val="sr-Cyrl-RS"/>
        </w:rPr>
        <w:t xml:space="preserve"> </w:t>
      </w:r>
      <w:r w:rsidRPr="00AE7E3B">
        <w:rPr>
          <w:rFonts w:ascii="Times New Roman" w:hAnsi="Times New Roman" w:cs="Times New Roman"/>
          <w:lang w:val="sr-Cyrl-RS"/>
        </w:rPr>
        <w:t xml:space="preserve">предвидео застој у застари од годину дана од </w:t>
      </w:r>
      <w:r w:rsidR="0048004A">
        <w:rPr>
          <w:rFonts w:ascii="Times New Roman" w:hAnsi="Times New Roman" w:cs="Times New Roman"/>
          <w:lang w:val="sr-Cyrl-RS"/>
        </w:rPr>
        <w:t xml:space="preserve">дана </w:t>
      </w:r>
      <w:r w:rsidRPr="00AE7E3B">
        <w:rPr>
          <w:rFonts w:ascii="Times New Roman" w:hAnsi="Times New Roman" w:cs="Times New Roman"/>
          <w:lang w:val="sr-Cyrl-RS"/>
        </w:rPr>
        <w:t>отварања стечаја</w:t>
      </w:r>
      <w:r w:rsidR="0030684A">
        <w:rPr>
          <w:rFonts w:ascii="Times New Roman" w:hAnsi="Times New Roman" w:cs="Times New Roman"/>
          <w:lang w:val="sr-Latn-RS"/>
        </w:rPr>
        <w:t>.</w:t>
      </w:r>
      <w:r>
        <w:rPr>
          <w:rFonts w:ascii="Times New Roman" w:hAnsi="Times New Roman" w:cs="Times New Roman"/>
          <w:lang w:val="sr-Cyrl-RS"/>
        </w:rPr>
        <w:t xml:space="preserve"> </w:t>
      </w:r>
      <w:r w:rsidR="007C65B1">
        <w:rPr>
          <w:rFonts w:ascii="Times New Roman" w:hAnsi="Times New Roman" w:cs="Times New Roman"/>
          <w:lang w:val="sr-Cyrl-RS"/>
        </w:rPr>
        <w:t xml:space="preserve">Стечајни управник треба што реалније да процени могућност наплате ових потраживања, јер очекивани проценат може увећати или умањити вредност стечајне масе. </w:t>
      </w:r>
      <w:r w:rsidRPr="00AE7E3B">
        <w:rPr>
          <w:rFonts w:ascii="Times New Roman" w:hAnsi="Times New Roman" w:cs="Times New Roman"/>
          <w:lang w:val="sr-Cyrl-RS"/>
        </w:rPr>
        <w:t>Националним стандардима није предвиђено посебно поглавље које третира ову област.</w:t>
      </w:r>
      <w:r>
        <w:rPr>
          <w:rFonts w:ascii="Times New Roman" w:hAnsi="Times New Roman" w:cs="Times New Roman"/>
          <w:lang w:val="sr-Cyrl-RS"/>
        </w:rPr>
        <w:t xml:space="preserve"> </w:t>
      </w:r>
    </w:p>
    <w:p w:rsidR="004F27DA" w:rsidRDefault="004F27DA" w:rsidP="00AD4595">
      <w:pPr>
        <w:spacing w:after="0" w:line="240" w:lineRule="auto"/>
        <w:jc w:val="both"/>
        <w:rPr>
          <w:rFonts w:ascii="Times New Roman" w:hAnsi="Times New Roman" w:cs="Times New Roman"/>
          <w:lang w:val="sr-Cyrl-RS"/>
        </w:rPr>
      </w:pPr>
    </w:p>
    <w:p w:rsidR="008E1C8C" w:rsidRDefault="00A206F5" w:rsidP="00AD4595">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Приликом евидентирања имовине стечајног дужника која је под теретом, мора се обратити посебна пажња на тачан унос имовине под теретом, стога што се дешавало да се уместо на објектима терет евидентира на земљишту, што утиче и на погрешне износе у почетном стечајном билансу, због различите ликвидационе вредности  појединих ставки имовине. </w:t>
      </w:r>
      <w:r w:rsidR="008E1C8C">
        <w:rPr>
          <w:rFonts w:ascii="Times New Roman" w:hAnsi="Times New Roman" w:cs="Times New Roman"/>
          <w:lang w:val="sr-Cyrl-RS"/>
        </w:rPr>
        <w:t>Такође, постоје и случајеви да стечајни управник не провери у регистру залога да ли су уписани терети на покретној имовини и исте и не евидентира у извештају о економско финансијском стању стечајног дужника.</w:t>
      </w:r>
    </w:p>
    <w:p w:rsidR="008E1C8C" w:rsidRDefault="008E1C8C" w:rsidP="00AD4595">
      <w:pPr>
        <w:spacing w:after="0" w:line="240" w:lineRule="auto"/>
        <w:jc w:val="both"/>
        <w:rPr>
          <w:rFonts w:ascii="Times New Roman" w:hAnsi="Times New Roman" w:cs="Times New Roman"/>
          <w:lang w:val="sr-Cyrl-RS"/>
        </w:rPr>
      </w:pPr>
    </w:p>
    <w:p w:rsidR="004F27DA" w:rsidRDefault="008E1C8C" w:rsidP="00AD4595">
      <w:pPr>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У овој фази стечајног поступка, када још увек нису испитане пријаве потраживања, стечајни управник евидентира потраживања поверилаца на основу доступне документације и пословних књига. </w:t>
      </w:r>
      <w:r w:rsidR="00A249BF">
        <w:rPr>
          <w:rFonts w:ascii="Times New Roman" w:hAnsi="Times New Roman" w:cs="Times New Roman"/>
          <w:lang w:val="sr-Cyrl-RS"/>
        </w:rPr>
        <w:t xml:space="preserve">Иако је у листи поверилаца уочљиво да ли су обавезе исказане са каматом до дана отварања стечајног поступка или без ње, требало би у напомени код укупних обавеза то нагласити, као и да ће основаност потраживања поверилаца бити </w:t>
      </w:r>
      <w:r w:rsidR="002C5870">
        <w:rPr>
          <w:rFonts w:ascii="Times New Roman" w:hAnsi="Times New Roman" w:cs="Times New Roman"/>
          <w:lang w:val="sr-Cyrl-RS"/>
        </w:rPr>
        <w:t>утврђена</w:t>
      </w:r>
      <w:r w:rsidR="00A249BF">
        <w:rPr>
          <w:rFonts w:ascii="Times New Roman" w:hAnsi="Times New Roman" w:cs="Times New Roman"/>
          <w:lang w:val="sr-Cyrl-RS"/>
        </w:rPr>
        <w:t xml:space="preserve"> у поступку</w:t>
      </w:r>
      <w:r w:rsidR="002C5870">
        <w:rPr>
          <w:rFonts w:ascii="Times New Roman" w:hAnsi="Times New Roman" w:cs="Times New Roman"/>
          <w:lang w:val="sr-Cyrl-RS"/>
        </w:rPr>
        <w:t xml:space="preserve"> испитивања пријављених потраживања. Ово стога што има случајева да су повериоци на основу података из извештаја о економско финансијском стању стечајног дужника покретали парнице за утврђивање свог потраживања.</w:t>
      </w:r>
    </w:p>
    <w:p w:rsidR="00CE7308" w:rsidRDefault="00CE7308" w:rsidP="000854FE">
      <w:pPr>
        <w:pStyle w:val="NormalWeb"/>
        <w:spacing w:before="0" w:beforeAutospacing="0" w:after="0" w:afterAutospacing="0"/>
        <w:jc w:val="center"/>
        <w:rPr>
          <w:b/>
        </w:rPr>
      </w:pPr>
    </w:p>
    <w:p w:rsidR="007B1928" w:rsidRDefault="00937CF1" w:rsidP="000854FE">
      <w:pPr>
        <w:pStyle w:val="NormalWeb"/>
        <w:spacing w:before="0" w:beforeAutospacing="0" w:after="0" w:afterAutospacing="0"/>
        <w:jc w:val="center"/>
        <w:rPr>
          <w:b/>
          <w:lang w:val="sr-Cyrl-RS"/>
        </w:rPr>
      </w:pPr>
      <w:r w:rsidRPr="00937CF1">
        <w:rPr>
          <w:b/>
        </w:rPr>
        <w:t>Тромесечн</w:t>
      </w:r>
      <w:r w:rsidRPr="00937CF1">
        <w:rPr>
          <w:b/>
          <w:lang w:val="sr-Cyrl-RS"/>
        </w:rPr>
        <w:t>и</w:t>
      </w:r>
      <w:r w:rsidRPr="00937CF1">
        <w:rPr>
          <w:b/>
        </w:rPr>
        <w:t xml:space="preserve"> извештај</w:t>
      </w:r>
      <w:r w:rsidRPr="00937CF1">
        <w:rPr>
          <w:b/>
          <w:lang w:val="sr-Cyrl-RS"/>
        </w:rPr>
        <w:t>и</w:t>
      </w:r>
      <w:r w:rsidRPr="00937CF1">
        <w:rPr>
          <w:b/>
        </w:rPr>
        <w:t xml:space="preserve"> о току стечајног поступка и стању стечајне масе</w:t>
      </w:r>
    </w:p>
    <w:p w:rsidR="007B1928" w:rsidRDefault="000854FE" w:rsidP="000854FE">
      <w:pPr>
        <w:pStyle w:val="NormalWeb"/>
        <w:spacing w:before="0" w:beforeAutospacing="0" w:after="0" w:afterAutospacing="0"/>
        <w:jc w:val="center"/>
        <w:rPr>
          <w:b/>
          <w:lang w:val="sr-Cyrl-RS"/>
        </w:rPr>
      </w:pPr>
      <w:r w:rsidRPr="00AA04AA">
        <w:rPr>
          <w:b/>
          <w:lang w:val="sr-Cyrl-RS"/>
        </w:rPr>
        <w:t xml:space="preserve">(члан 29. Закона о </w:t>
      </w:r>
      <w:r w:rsidRPr="00AF5BAE">
        <w:rPr>
          <w:b/>
          <w:lang w:val="sr-Cyrl-RS"/>
        </w:rPr>
        <w:t>стечају и Национални стандард број</w:t>
      </w:r>
      <w:r w:rsidR="00AF5BAE" w:rsidRPr="00AF5BAE">
        <w:rPr>
          <w:b/>
          <w:lang w:val="sr-Cyrl-RS"/>
        </w:rPr>
        <w:t xml:space="preserve"> 4</w:t>
      </w:r>
      <w:r>
        <w:rPr>
          <w:b/>
          <w:lang w:val="sr-Cyrl-RS"/>
        </w:rPr>
        <w:t xml:space="preserve"> )</w:t>
      </w:r>
    </w:p>
    <w:p w:rsidR="000854FE" w:rsidRDefault="000854FE" w:rsidP="000854FE">
      <w:pPr>
        <w:pStyle w:val="NormalWeb"/>
        <w:spacing w:before="0" w:beforeAutospacing="0" w:after="0" w:afterAutospacing="0"/>
        <w:jc w:val="center"/>
        <w:rPr>
          <w:b/>
          <w:lang w:val="sr-Cyrl-RS"/>
        </w:rPr>
      </w:pPr>
    </w:p>
    <w:p w:rsidR="006354F6" w:rsidRPr="007B1928" w:rsidRDefault="007F76D9" w:rsidP="007B1928">
      <w:pPr>
        <w:pStyle w:val="NormalWeb"/>
        <w:spacing w:before="120" w:beforeAutospacing="0" w:after="0" w:afterAutospacing="0"/>
        <w:jc w:val="both"/>
        <w:rPr>
          <w:b/>
          <w:lang w:val="sr-Cyrl-RS"/>
        </w:rPr>
      </w:pPr>
      <w:r w:rsidRPr="00A733F1">
        <w:rPr>
          <w:sz w:val="22"/>
          <w:szCs w:val="22"/>
          <w:lang w:val="sr-Cyrl-CS"/>
        </w:rPr>
        <w:t>Законом о стечају и Национални</w:t>
      </w:r>
      <w:r w:rsidR="00567D27">
        <w:rPr>
          <w:sz w:val="22"/>
          <w:szCs w:val="22"/>
          <w:lang w:val="sr-Cyrl-CS"/>
        </w:rPr>
        <w:t>м</w:t>
      </w:r>
      <w:r w:rsidRPr="00A733F1">
        <w:rPr>
          <w:sz w:val="22"/>
          <w:szCs w:val="22"/>
          <w:lang w:val="sr-Cyrl-CS"/>
        </w:rPr>
        <w:t xml:space="preserve"> стандардима за управљање стечајном масом, осим садржаја извештаја, прописано је и да стечајни управник извештаје д</w:t>
      </w:r>
      <w:r w:rsidR="00E16316">
        <w:rPr>
          <w:sz w:val="22"/>
          <w:szCs w:val="22"/>
          <w:lang w:val="sr-Cyrl-CS"/>
        </w:rPr>
        <w:t xml:space="preserve">оставља </w:t>
      </w:r>
      <w:r w:rsidR="00E16316" w:rsidRPr="00A733F1">
        <w:rPr>
          <w:sz w:val="22"/>
          <w:szCs w:val="22"/>
          <w:lang w:val="sr-Cyrl-CS"/>
        </w:rPr>
        <w:t>стечајном судији</w:t>
      </w:r>
      <w:r w:rsidR="00E16316">
        <w:rPr>
          <w:sz w:val="22"/>
          <w:szCs w:val="22"/>
          <w:lang w:val="sr-Cyrl-CS"/>
        </w:rPr>
        <w:t xml:space="preserve"> у писаном облику, а одбору поверилаца </w:t>
      </w:r>
      <w:r w:rsidRPr="00A733F1">
        <w:rPr>
          <w:sz w:val="22"/>
          <w:szCs w:val="22"/>
          <w:lang w:val="sr-Cyrl-CS"/>
        </w:rPr>
        <w:t>и Агенцији за лиценцирање стечајних управника</w:t>
      </w:r>
      <w:r w:rsidR="00E16316">
        <w:rPr>
          <w:sz w:val="22"/>
          <w:szCs w:val="22"/>
          <w:lang w:val="sr-Cyrl-CS"/>
        </w:rPr>
        <w:t xml:space="preserve"> електронским путем</w:t>
      </w:r>
      <w:r w:rsidRPr="00A733F1">
        <w:rPr>
          <w:sz w:val="22"/>
          <w:szCs w:val="22"/>
          <w:lang w:val="sr-Cyrl-CS"/>
        </w:rPr>
        <w:t>.</w:t>
      </w:r>
      <w:r w:rsidR="00E16316">
        <w:rPr>
          <w:sz w:val="22"/>
          <w:szCs w:val="22"/>
          <w:lang w:val="sr-Cyrl-CS"/>
        </w:rPr>
        <w:t xml:space="preserve"> </w:t>
      </w:r>
      <w:r w:rsidR="006354F6" w:rsidRPr="006354F6">
        <w:rPr>
          <w:sz w:val="22"/>
          <w:szCs w:val="22"/>
          <w:lang w:val="sr-Cyrl-CS"/>
        </w:rPr>
        <w:t>Извештај садржи:</w:t>
      </w:r>
    </w:p>
    <w:p w:rsidR="006354F6" w:rsidRPr="006354F6" w:rsidRDefault="006354F6" w:rsidP="006354F6">
      <w:pPr>
        <w:pStyle w:val="Footer"/>
        <w:numPr>
          <w:ilvl w:val="0"/>
          <w:numId w:val="10"/>
        </w:numPr>
        <w:tabs>
          <w:tab w:val="clear" w:pos="1287"/>
          <w:tab w:val="clear" w:pos="4153"/>
          <w:tab w:val="clear" w:pos="8306"/>
          <w:tab w:val="left" w:pos="851"/>
        </w:tabs>
        <w:spacing w:before="60"/>
        <w:ind w:left="567" w:firstLine="0"/>
        <w:jc w:val="both"/>
        <w:rPr>
          <w:sz w:val="22"/>
          <w:szCs w:val="22"/>
          <w:lang w:val="sr-Cyrl-CS"/>
        </w:rPr>
      </w:pPr>
      <w:r w:rsidRPr="006354F6">
        <w:rPr>
          <w:sz w:val="22"/>
          <w:szCs w:val="22"/>
          <w:lang w:val="sr-Cyrl-CS"/>
        </w:rPr>
        <w:t>списак имовине која је продата, пренесена или на други начин отуђена,</w:t>
      </w:r>
    </w:p>
    <w:p w:rsidR="006354F6" w:rsidRPr="006354F6" w:rsidRDefault="006354F6" w:rsidP="006354F6">
      <w:pPr>
        <w:pStyle w:val="Footer"/>
        <w:numPr>
          <w:ilvl w:val="0"/>
          <w:numId w:val="10"/>
        </w:numPr>
        <w:tabs>
          <w:tab w:val="clear" w:pos="1287"/>
          <w:tab w:val="clear" w:pos="4153"/>
          <w:tab w:val="clear" w:pos="8306"/>
          <w:tab w:val="left" w:pos="851"/>
        </w:tabs>
        <w:ind w:left="567" w:firstLine="0"/>
        <w:jc w:val="both"/>
        <w:rPr>
          <w:sz w:val="22"/>
          <w:szCs w:val="22"/>
          <w:lang w:val="sr-Cyrl-CS"/>
        </w:rPr>
      </w:pPr>
      <w:r w:rsidRPr="006354F6">
        <w:rPr>
          <w:sz w:val="22"/>
          <w:szCs w:val="22"/>
          <w:lang w:val="sr-Cyrl-CS"/>
        </w:rPr>
        <w:t>списак готовинских прилива</w:t>
      </w:r>
      <w:r>
        <w:rPr>
          <w:sz w:val="22"/>
          <w:szCs w:val="22"/>
          <w:lang w:val="sr-Cyrl-CS"/>
        </w:rPr>
        <w:t xml:space="preserve"> и одлива учињених у току периода</w:t>
      </w:r>
      <w:r w:rsidRPr="006354F6">
        <w:rPr>
          <w:sz w:val="22"/>
          <w:szCs w:val="22"/>
          <w:lang w:val="sr-Cyrl-CS"/>
        </w:rPr>
        <w:t>,</w:t>
      </w:r>
    </w:p>
    <w:p w:rsidR="006354F6" w:rsidRPr="006354F6" w:rsidRDefault="006354F6" w:rsidP="006354F6">
      <w:pPr>
        <w:pStyle w:val="Footer"/>
        <w:numPr>
          <w:ilvl w:val="0"/>
          <w:numId w:val="10"/>
        </w:numPr>
        <w:tabs>
          <w:tab w:val="clear" w:pos="1287"/>
          <w:tab w:val="clear" w:pos="4153"/>
          <w:tab w:val="clear" w:pos="8306"/>
          <w:tab w:val="left" w:pos="851"/>
        </w:tabs>
        <w:ind w:left="567" w:firstLine="0"/>
        <w:jc w:val="both"/>
        <w:rPr>
          <w:sz w:val="22"/>
          <w:szCs w:val="22"/>
          <w:lang w:val="sr-Cyrl-CS"/>
        </w:rPr>
      </w:pPr>
      <w:r w:rsidRPr="006354F6">
        <w:rPr>
          <w:sz w:val="22"/>
          <w:szCs w:val="22"/>
          <w:lang w:val="sr-Cyrl-CS"/>
        </w:rPr>
        <w:t>почетно и крајње стање на рачуну стечајног дужника,</w:t>
      </w:r>
    </w:p>
    <w:p w:rsidR="006354F6" w:rsidRPr="006354F6" w:rsidRDefault="006354F6" w:rsidP="006354F6">
      <w:pPr>
        <w:pStyle w:val="Footer"/>
        <w:numPr>
          <w:ilvl w:val="0"/>
          <w:numId w:val="10"/>
        </w:numPr>
        <w:tabs>
          <w:tab w:val="clear" w:pos="1287"/>
          <w:tab w:val="clear" w:pos="4153"/>
          <w:tab w:val="clear" w:pos="8306"/>
          <w:tab w:val="left" w:pos="851"/>
        </w:tabs>
        <w:ind w:left="567" w:firstLine="0"/>
        <w:jc w:val="both"/>
        <w:rPr>
          <w:sz w:val="22"/>
          <w:szCs w:val="22"/>
          <w:lang w:val="sr-Cyrl-CS"/>
        </w:rPr>
      </w:pPr>
      <w:r w:rsidRPr="006354F6">
        <w:rPr>
          <w:sz w:val="22"/>
          <w:szCs w:val="22"/>
          <w:lang w:val="sr-Cyrl-CS"/>
        </w:rPr>
        <w:t>списак обавеза стечајног дужника,</w:t>
      </w:r>
    </w:p>
    <w:p w:rsidR="006354F6" w:rsidRDefault="006354F6" w:rsidP="006354F6">
      <w:pPr>
        <w:pStyle w:val="Footer"/>
        <w:numPr>
          <w:ilvl w:val="0"/>
          <w:numId w:val="10"/>
        </w:numPr>
        <w:tabs>
          <w:tab w:val="clear" w:pos="1287"/>
          <w:tab w:val="clear" w:pos="4153"/>
          <w:tab w:val="clear" w:pos="8306"/>
          <w:tab w:val="left" w:pos="851"/>
        </w:tabs>
        <w:ind w:left="567" w:firstLine="0"/>
        <w:jc w:val="both"/>
        <w:rPr>
          <w:sz w:val="22"/>
          <w:szCs w:val="22"/>
          <w:lang w:val="sr-Cyrl-CS"/>
        </w:rPr>
      </w:pPr>
      <w:r w:rsidRPr="006354F6">
        <w:rPr>
          <w:sz w:val="22"/>
          <w:szCs w:val="22"/>
          <w:lang w:val="sr-Cyrl-CS"/>
        </w:rPr>
        <w:t>списак ангажованих стручњака и износе који су им исплаћени.</w:t>
      </w:r>
    </w:p>
    <w:p w:rsidR="007B1928" w:rsidRDefault="007B1928" w:rsidP="007B1928">
      <w:pPr>
        <w:pStyle w:val="Footer"/>
        <w:tabs>
          <w:tab w:val="clear" w:pos="4153"/>
          <w:tab w:val="clear" w:pos="8306"/>
          <w:tab w:val="left" w:pos="851"/>
        </w:tabs>
        <w:jc w:val="both"/>
        <w:rPr>
          <w:sz w:val="22"/>
          <w:szCs w:val="22"/>
          <w:lang w:val="sr-Cyrl-CS"/>
        </w:rPr>
      </w:pPr>
    </w:p>
    <w:p w:rsidR="007B1928" w:rsidRPr="00732090" w:rsidRDefault="007B1928" w:rsidP="007B1928">
      <w:pPr>
        <w:pStyle w:val="Footer"/>
        <w:tabs>
          <w:tab w:val="clear" w:pos="4153"/>
          <w:tab w:val="clear" w:pos="8306"/>
          <w:tab w:val="left" w:pos="851"/>
        </w:tabs>
        <w:jc w:val="both"/>
        <w:rPr>
          <w:sz w:val="22"/>
          <w:szCs w:val="22"/>
          <w:lang w:val="sr-Cyrl-CS"/>
        </w:rPr>
      </w:pPr>
      <w:r>
        <w:rPr>
          <w:sz w:val="22"/>
          <w:szCs w:val="22"/>
          <w:lang w:val="sr-Cyrl-CS"/>
        </w:rPr>
        <w:t xml:space="preserve">Након приказа </w:t>
      </w:r>
      <w:r w:rsidRPr="007B1928">
        <w:rPr>
          <w:sz w:val="22"/>
          <w:szCs w:val="22"/>
          <w:lang w:val="sr-Cyrl-CS"/>
        </w:rPr>
        <w:t>података из почетног стечајног биланса (Извештај о економско финансијском стању стечајног дужника на дан отварања поступка стечаја) или биланса из претходног извештајног периода</w:t>
      </w:r>
      <w:r>
        <w:rPr>
          <w:sz w:val="22"/>
          <w:szCs w:val="22"/>
          <w:lang w:val="sr-Cyrl-CS"/>
        </w:rPr>
        <w:t>,</w:t>
      </w:r>
      <w:r w:rsidRPr="007B1928">
        <w:rPr>
          <w:sz w:val="22"/>
          <w:szCs w:val="22"/>
          <w:lang w:val="sr-Cyrl-CS"/>
        </w:rPr>
        <w:t xml:space="preserve"> следе табеле о променама на имовини и обавезама у току извештајног периода.</w:t>
      </w:r>
      <w:r>
        <w:rPr>
          <w:sz w:val="22"/>
          <w:szCs w:val="22"/>
          <w:lang w:val="sr-Cyrl-CS"/>
        </w:rPr>
        <w:t xml:space="preserve"> </w:t>
      </w:r>
      <w:r w:rsidRPr="00732090">
        <w:rPr>
          <w:sz w:val="22"/>
          <w:szCs w:val="22"/>
          <w:lang w:val="sr-Cyrl-CS"/>
        </w:rPr>
        <w:t>Одбор</w:t>
      </w:r>
      <w:r w:rsidRPr="007B1928">
        <w:rPr>
          <w:sz w:val="22"/>
          <w:szCs w:val="22"/>
          <w:lang w:val="sr-Cyrl-CS"/>
        </w:rPr>
        <w:t xml:space="preserve"> поверилаца али и други органи стечајног поступка тр</w:t>
      </w:r>
      <w:r w:rsidRPr="007B1928">
        <w:rPr>
          <w:sz w:val="22"/>
          <w:szCs w:val="22"/>
          <w:lang w:val="sr-Latn-CS"/>
        </w:rPr>
        <w:t>e</w:t>
      </w:r>
      <w:r w:rsidRPr="00732090">
        <w:rPr>
          <w:sz w:val="22"/>
          <w:szCs w:val="22"/>
          <w:lang w:val="sr-Cyrl-CS"/>
        </w:rPr>
        <w:t>ба да имају информације о утврђеним</w:t>
      </w:r>
      <w:r w:rsidRPr="007B1928">
        <w:rPr>
          <w:sz w:val="22"/>
          <w:szCs w:val="22"/>
          <w:lang w:val="sr-Cyrl-CS"/>
        </w:rPr>
        <w:t xml:space="preserve"> обавеза</w:t>
      </w:r>
      <w:r w:rsidRPr="00732090">
        <w:rPr>
          <w:sz w:val="22"/>
          <w:szCs w:val="22"/>
          <w:lang w:val="sr-Cyrl-CS"/>
        </w:rPr>
        <w:t>ма</w:t>
      </w:r>
      <w:r w:rsidRPr="007B1928">
        <w:rPr>
          <w:sz w:val="22"/>
          <w:szCs w:val="22"/>
          <w:lang w:val="sr-Cyrl-CS"/>
        </w:rPr>
        <w:t xml:space="preserve"> по основу утврђених потраживања. </w:t>
      </w:r>
      <w:r w:rsidRPr="00732090">
        <w:rPr>
          <w:sz w:val="22"/>
          <w:szCs w:val="22"/>
          <w:lang w:val="sr-Cyrl-CS"/>
        </w:rPr>
        <w:t>К</w:t>
      </w:r>
      <w:r w:rsidRPr="007B1928">
        <w:rPr>
          <w:sz w:val="22"/>
          <w:szCs w:val="22"/>
          <w:lang w:val="sr-Cyrl-CS"/>
        </w:rPr>
        <w:t xml:space="preserve">од већег броја стечајних дужника због накнадних  пријава и допунских рочишта, </w:t>
      </w:r>
      <w:r w:rsidRPr="00732090">
        <w:rPr>
          <w:sz w:val="22"/>
          <w:szCs w:val="22"/>
          <w:lang w:val="sr-Cyrl-CS"/>
        </w:rPr>
        <w:t>тај податак се стално мења, те је неопходно ажурно евидентирање ових обавеза</w:t>
      </w:r>
      <w:r w:rsidRPr="007B1928">
        <w:rPr>
          <w:sz w:val="22"/>
          <w:szCs w:val="22"/>
          <w:lang w:val="sr-Cyrl-CS"/>
        </w:rPr>
        <w:t>, као и исплате истих.</w:t>
      </w:r>
    </w:p>
    <w:p w:rsidR="007B1928" w:rsidRPr="00732090" w:rsidRDefault="007B1928" w:rsidP="007B1928">
      <w:pPr>
        <w:pStyle w:val="Footer"/>
        <w:tabs>
          <w:tab w:val="clear" w:pos="4153"/>
          <w:tab w:val="clear" w:pos="8306"/>
          <w:tab w:val="left" w:pos="851"/>
        </w:tabs>
        <w:jc w:val="both"/>
        <w:rPr>
          <w:sz w:val="22"/>
          <w:szCs w:val="22"/>
          <w:lang w:val="sr-Cyrl-CS"/>
        </w:rPr>
      </w:pPr>
    </w:p>
    <w:p w:rsidR="007B1928" w:rsidRPr="00032726" w:rsidRDefault="007B1928" w:rsidP="007B1928">
      <w:pPr>
        <w:pStyle w:val="Footer"/>
        <w:tabs>
          <w:tab w:val="clear" w:pos="4153"/>
          <w:tab w:val="clear" w:pos="8306"/>
          <w:tab w:val="left" w:pos="851"/>
        </w:tabs>
        <w:jc w:val="both"/>
        <w:rPr>
          <w:sz w:val="22"/>
          <w:szCs w:val="22"/>
          <w:lang w:val="sr-Cyrl-RS"/>
        </w:rPr>
      </w:pPr>
      <w:r w:rsidRPr="007B1928">
        <w:rPr>
          <w:sz w:val="22"/>
          <w:szCs w:val="22"/>
          <w:lang w:val="sr-Cyrl-CS"/>
        </w:rPr>
        <w:t xml:space="preserve">У делу приказивања </w:t>
      </w:r>
      <w:r w:rsidRPr="00732090">
        <w:rPr>
          <w:sz w:val="22"/>
          <w:szCs w:val="22"/>
          <w:lang w:val="sr-Cyrl-CS"/>
        </w:rPr>
        <w:t xml:space="preserve">трошкова стечајног поступка, налази се </w:t>
      </w:r>
      <w:r w:rsidRPr="007B1928">
        <w:rPr>
          <w:sz w:val="22"/>
          <w:szCs w:val="22"/>
          <w:lang w:val="sr-Cyrl-CS"/>
        </w:rPr>
        <w:t xml:space="preserve">колона о одобреним трошковима стечајног поступка од </w:t>
      </w:r>
      <w:r w:rsidRPr="00732090">
        <w:rPr>
          <w:sz w:val="22"/>
          <w:szCs w:val="22"/>
          <w:lang w:val="sr-Cyrl-CS"/>
        </w:rPr>
        <w:t xml:space="preserve">стране </w:t>
      </w:r>
      <w:r w:rsidRPr="007B1928">
        <w:rPr>
          <w:sz w:val="22"/>
          <w:szCs w:val="22"/>
          <w:lang w:val="sr-Cyrl-CS"/>
        </w:rPr>
        <w:t>стечајног судије, јер се често дешава да се због лошег плана трошкова, али и због настајања непредвиђених трошкова, заборави подношење додатног трошковника, односно допуне трошковни</w:t>
      </w:r>
      <w:r w:rsidR="00032726">
        <w:rPr>
          <w:sz w:val="22"/>
          <w:szCs w:val="22"/>
          <w:lang w:val="sr-Cyrl-CS"/>
        </w:rPr>
        <w:t xml:space="preserve">ка стечајном судији на одобрење, </w:t>
      </w:r>
      <w:r w:rsidR="00032726">
        <w:rPr>
          <w:sz w:val="22"/>
          <w:szCs w:val="22"/>
          <w:lang w:val="sr-Cyrl-RS"/>
        </w:rPr>
        <w:t>као што се може видети из следећег примера, на позицији 17</w:t>
      </w:r>
      <w:r w:rsidR="00625958">
        <w:rPr>
          <w:sz w:val="22"/>
          <w:szCs w:val="22"/>
          <w:lang w:val="sr-Cyrl-RS"/>
        </w:rPr>
        <w:t>-Накнаде за заступање (адвокати, брокери)</w:t>
      </w:r>
      <w:r w:rsidR="00032726">
        <w:rPr>
          <w:sz w:val="22"/>
          <w:szCs w:val="22"/>
          <w:lang w:val="sr-Cyrl-RS"/>
        </w:rPr>
        <w:t>:</w:t>
      </w:r>
    </w:p>
    <w:p w:rsidR="00CC0FC8" w:rsidRDefault="00DC043B" w:rsidP="007B1928">
      <w:pPr>
        <w:pStyle w:val="Footer"/>
        <w:tabs>
          <w:tab w:val="clear" w:pos="4153"/>
          <w:tab w:val="clear" w:pos="8306"/>
          <w:tab w:val="left" w:pos="851"/>
        </w:tabs>
        <w:jc w:val="both"/>
        <w:rPr>
          <w:sz w:val="22"/>
          <w:szCs w:val="22"/>
          <w:lang w:val="sr-Cyrl-CS"/>
        </w:rPr>
      </w:pPr>
      <w:r w:rsidRPr="00032726">
        <w:rPr>
          <w:noProof/>
          <w:sz w:val="22"/>
          <w:szCs w:val="22"/>
          <w:lang w:val="sr-Latn-RS" w:eastAsia="sr-Latn-RS"/>
        </w:rPr>
        <w:lastRenderedPageBreak/>
        <w:drawing>
          <wp:anchor distT="0" distB="0" distL="114300" distR="114300" simplePos="0" relativeHeight="251655680" behindDoc="0" locked="0" layoutInCell="1" allowOverlap="1" wp14:anchorId="1B1BA591" wp14:editId="0EAB788E">
            <wp:simplePos x="0" y="0"/>
            <wp:positionH relativeFrom="margin">
              <wp:posOffset>-381000</wp:posOffset>
            </wp:positionH>
            <wp:positionV relativeFrom="page">
              <wp:posOffset>828675</wp:posOffset>
            </wp:positionV>
            <wp:extent cx="6743700" cy="6076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607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FC8" w:rsidRDefault="00CC0FC8" w:rsidP="00032726">
      <w:pPr>
        <w:pStyle w:val="Footer"/>
        <w:tabs>
          <w:tab w:val="clear" w:pos="4153"/>
          <w:tab w:val="clear" w:pos="8306"/>
          <w:tab w:val="left" w:pos="851"/>
        </w:tabs>
        <w:jc w:val="center"/>
        <w:rPr>
          <w:sz w:val="22"/>
          <w:szCs w:val="22"/>
          <w:lang w:val="sr-Cyrl-CS"/>
        </w:rPr>
      </w:pPr>
    </w:p>
    <w:p w:rsidR="000C4433" w:rsidRDefault="000C4433" w:rsidP="007B1928">
      <w:pPr>
        <w:pStyle w:val="Footer"/>
        <w:tabs>
          <w:tab w:val="clear" w:pos="4153"/>
          <w:tab w:val="clear" w:pos="8306"/>
          <w:tab w:val="left" w:pos="851"/>
        </w:tabs>
        <w:jc w:val="both"/>
        <w:rPr>
          <w:sz w:val="22"/>
          <w:szCs w:val="22"/>
          <w:lang w:val="sr-Cyrl-CS"/>
        </w:rPr>
      </w:pPr>
    </w:p>
    <w:p w:rsidR="000C4433" w:rsidRDefault="000C4433" w:rsidP="007B1928">
      <w:pPr>
        <w:pStyle w:val="Footer"/>
        <w:tabs>
          <w:tab w:val="clear" w:pos="4153"/>
          <w:tab w:val="clear" w:pos="8306"/>
          <w:tab w:val="left" w:pos="851"/>
        </w:tabs>
        <w:jc w:val="both"/>
        <w:rPr>
          <w:sz w:val="22"/>
          <w:szCs w:val="22"/>
          <w:lang w:val="sr-Cyrl-RS"/>
        </w:rPr>
      </w:pPr>
      <w:r>
        <w:rPr>
          <w:sz w:val="22"/>
          <w:szCs w:val="22"/>
          <w:lang w:val="sr-Cyrl-CS"/>
        </w:rPr>
        <w:t xml:space="preserve">И у овом извештају је неопходно навести </w:t>
      </w:r>
      <w:r>
        <w:rPr>
          <w:lang w:val="sr-Cyrl-RS"/>
        </w:rPr>
        <w:t xml:space="preserve"> </w:t>
      </w:r>
      <w:r w:rsidRPr="000C4433">
        <w:rPr>
          <w:sz w:val="22"/>
          <w:szCs w:val="22"/>
          <w:lang w:val="sr-Cyrl-RS"/>
        </w:rPr>
        <w:t>додатна објашњења, како би повериоци и заинтересована лица имали јасну слику о променама и предузетим активностима у току стечајног поступка. На пример:</w:t>
      </w:r>
    </w:p>
    <w:p w:rsidR="00FC7ACC" w:rsidRPr="000C4433" w:rsidRDefault="00FC7ACC" w:rsidP="007B1928">
      <w:pPr>
        <w:pStyle w:val="Footer"/>
        <w:tabs>
          <w:tab w:val="clear" w:pos="4153"/>
          <w:tab w:val="clear" w:pos="8306"/>
          <w:tab w:val="left" w:pos="851"/>
        </w:tabs>
        <w:jc w:val="both"/>
        <w:rPr>
          <w:sz w:val="22"/>
          <w:szCs w:val="22"/>
          <w:lang w:val="sr-Cyrl-RS"/>
        </w:rPr>
      </w:pPr>
    </w:p>
    <w:p w:rsidR="000C4433" w:rsidRDefault="000C4433" w:rsidP="000C4433">
      <w:pPr>
        <w:pStyle w:val="Footer"/>
        <w:numPr>
          <w:ilvl w:val="0"/>
          <w:numId w:val="11"/>
        </w:numPr>
        <w:tabs>
          <w:tab w:val="clear" w:pos="4153"/>
          <w:tab w:val="clear" w:pos="8306"/>
          <w:tab w:val="left" w:pos="851"/>
        </w:tabs>
        <w:jc w:val="both"/>
        <w:rPr>
          <w:sz w:val="22"/>
          <w:szCs w:val="22"/>
          <w:lang w:val="sr-Cyrl-CS"/>
        </w:rPr>
      </w:pPr>
      <w:r w:rsidRPr="000C4433">
        <w:rPr>
          <w:sz w:val="22"/>
          <w:szCs w:val="22"/>
          <w:lang w:val="sr-Cyrl-CS"/>
        </w:rPr>
        <w:t>уколико стечајни дужник има више рачуна и благајну, у образложењу треба навести стање на сваком рачуну појединачно, као и стање у благајни. Уколико стечајни дужник има девизне рачуне, треба навести стање на сваком од њих – у валути и у динарској противвредности. Код потраживања се може навести колико се односи на ненаплаћена потраживања пре стечаја, а колико у току стечајног поступка; за залихе шта их чини, а за уделе и акциј</w:t>
      </w:r>
      <w:r>
        <w:rPr>
          <w:sz w:val="22"/>
          <w:szCs w:val="22"/>
          <w:lang w:val="sr-Cyrl-CS"/>
        </w:rPr>
        <w:t xml:space="preserve">е </w:t>
      </w:r>
      <w:r w:rsidR="00567D27">
        <w:rPr>
          <w:sz w:val="22"/>
          <w:szCs w:val="22"/>
          <w:lang w:val="sr-Cyrl-CS"/>
        </w:rPr>
        <w:t xml:space="preserve">- </w:t>
      </w:r>
      <w:r>
        <w:rPr>
          <w:sz w:val="22"/>
          <w:szCs w:val="22"/>
          <w:lang w:val="sr-Cyrl-CS"/>
        </w:rPr>
        <w:t>код којих привредних друштава;</w:t>
      </w:r>
    </w:p>
    <w:p w:rsidR="00EB6597" w:rsidRPr="00FC3472" w:rsidRDefault="00FC7ACC" w:rsidP="00EB6597">
      <w:pPr>
        <w:pStyle w:val="Footer"/>
        <w:numPr>
          <w:ilvl w:val="0"/>
          <w:numId w:val="11"/>
        </w:numPr>
        <w:tabs>
          <w:tab w:val="clear" w:pos="4153"/>
          <w:tab w:val="clear" w:pos="8306"/>
          <w:tab w:val="left" w:pos="851"/>
        </w:tabs>
        <w:jc w:val="both"/>
        <w:rPr>
          <w:sz w:val="22"/>
          <w:szCs w:val="22"/>
          <w:lang w:val="sr-Cyrl-CS"/>
        </w:rPr>
      </w:pPr>
      <w:r>
        <w:rPr>
          <w:sz w:val="22"/>
          <w:szCs w:val="22"/>
          <w:lang w:val="sr-Cyrl-CS"/>
        </w:rPr>
        <w:lastRenderedPageBreak/>
        <w:t xml:space="preserve">у коментару уз табелу </w:t>
      </w:r>
      <w:r w:rsidRPr="001E6801">
        <w:rPr>
          <w:sz w:val="22"/>
          <w:szCs w:val="22"/>
          <w:lang w:val="sr-Cyrl-CS"/>
        </w:rPr>
        <w:t>"Повећање вредности имовине"</w:t>
      </w:r>
      <w:r>
        <w:rPr>
          <w:sz w:val="22"/>
          <w:szCs w:val="22"/>
          <w:lang w:val="sr-Cyrl-CS"/>
        </w:rPr>
        <w:t xml:space="preserve"> </w:t>
      </w:r>
      <w:r w:rsidRPr="00FC7ACC">
        <w:rPr>
          <w:sz w:val="22"/>
          <w:szCs w:val="22"/>
          <w:lang w:val="sr-Latn-CS"/>
        </w:rPr>
        <w:t xml:space="preserve">треба дати све потребне </w:t>
      </w:r>
      <w:r w:rsidRPr="00FC3472">
        <w:rPr>
          <w:sz w:val="22"/>
          <w:szCs w:val="22"/>
          <w:lang w:val="sr-Latn-CS"/>
        </w:rPr>
        <w:t xml:space="preserve">информације о </w:t>
      </w:r>
      <w:r w:rsidRPr="00FC3472">
        <w:rPr>
          <w:sz w:val="22"/>
          <w:szCs w:val="22"/>
          <w:lang w:val="sr-Cyrl-CS"/>
        </w:rPr>
        <w:t>оствареном повећању вредности имовине: која имовина је накнадно пронађена, процена њене вредности, обрачун позитивних курсних разлика, која имовина је наб</w:t>
      </w:r>
      <w:r w:rsidR="00EB6597" w:rsidRPr="00FC3472">
        <w:rPr>
          <w:sz w:val="22"/>
          <w:szCs w:val="22"/>
          <w:lang w:val="sr-Cyrl-CS"/>
        </w:rPr>
        <w:t>ављена и по којим ценама, итд;</w:t>
      </w:r>
    </w:p>
    <w:p w:rsidR="00EB6597" w:rsidRDefault="00B01084" w:rsidP="00EB6597">
      <w:pPr>
        <w:pStyle w:val="Footer"/>
        <w:numPr>
          <w:ilvl w:val="0"/>
          <w:numId w:val="11"/>
        </w:numPr>
        <w:tabs>
          <w:tab w:val="clear" w:pos="4153"/>
          <w:tab w:val="clear" w:pos="8306"/>
          <w:tab w:val="left" w:pos="851"/>
        </w:tabs>
        <w:jc w:val="both"/>
        <w:rPr>
          <w:sz w:val="22"/>
          <w:szCs w:val="22"/>
          <w:lang w:val="sr-Cyrl-CS"/>
        </w:rPr>
      </w:pPr>
      <w:r w:rsidRPr="00EB6597">
        <w:rPr>
          <w:sz w:val="22"/>
          <w:szCs w:val="22"/>
          <w:lang w:val="sr-Cyrl-RS"/>
        </w:rPr>
        <w:t>у</w:t>
      </w:r>
      <w:r w:rsidRPr="00EB6597">
        <w:rPr>
          <w:sz w:val="22"/>
          <w:szCs w:val="22"/>
          <w:lang w:val="sr-Latn-CS"/>
        </w:rPr>
        <w:t xml:space="preserve"> коментару уз табелу</w:t>
      </w:r>
      <w:r w:rsidRPr="00EB6597">
        <w:rPr>
          <w:rFonts w:ascii="Arial" w:hAnsi="Arial" w:cs="Arial"/>
          <w:sz w:val="20"/>
          <w:szCs w:val="20"/>
          <w:lang w:val="sr-Latn-CS"/>
        </w:rPr>
        <w:t xml:space="preserve"> </w:t>
      </w:r>
      <w:r w:rsidRPr="001E6801">
        <w:rPr>
          <w:sz w:val="22"/>
          <w:szCs w:val="22"/>
          <w:lang w:val="sr-Cyrl-CS"/>
        </w:rPr>
        <w:t>"Умањење вредности имовине"</w:t>
      </w:r>
      <w:r w:rsidR="001E6801">
        <w:rPr>
          <w:sz w:val="22"/>
          <w:szCs w:val="22"/>
          <w:lang w:val="sr-Cyrl-CS"/>
        </w:rPr>
        <w:t xml:space="preserve"> </w:t>
      </w:r>
      <w:r w:rsidRPr="00EB6597">
        <w:rPr>
          <w:sz w:val="22"/>
          <w:szCs w:val="22"/>
          <w:lang w:val="sr-Latn-CS"/>
        </w:rPr>
        <w:t xml:space="preserve">треба дати све потребне информације о </w:t>
      </w:r>
      <w:r w:rsidRPr="00EB6597">
        <w:rPr>
          <w:sz w:val="22"/>
          <w:szCs w:val="22"/>
          <w:lang w:val="sr-Cyrl-CS"/>
        </w:rPr>
        <w:t>оствареном умањењу вредности имовине (за коју имовину је накнадно утврђено да није власништво стечајног дужника, процена њене вредности, обрачун негативних курсних</w:t>
      </w:r>
      <w:r w:rsidR="00EB6597" w:rsidRPr="00EB6597">
        <w:rPr>
          <w:sz w:val="22"/>
          <w:szCs w:val="22"/>
          <w:lang w:val="sr-Cyrl-CS"/>
        </w:rPr>
        <w:t xml:space="preserve"> разлика, итд.);</w:t>
      </w:r>
    </w:p>
    <w:p w:rsidR="00EB6597" w:rsidRPr="00EB6597" w:rsidRDefault="00EB6597" w:rsidP="00EB6597">
      <w:pPr>
        <w:pStyle w:val="Footer"/>
        <w:numPr>
          <w:ilvl w:val="0"/>
          <w:numId w:val="11"/>
        </w:numPr>
        <w:tabs>
          <w:tab w:val="clear" w:pos="4153"/>
          <w:tab w:val="clear" w:pos="8306"/>
          <w:tab w:val="left" w:pos="851"/>
        </w:tabs>
        <w:jc w:val="both"/>
        <w:rPr>
          <w:sz w:val="22"/>
          <w:szCs w:val="22"/>
          <w:lang w:val="sr-Cyrl-CS"/>
        </w:rPr>
      </w:pPr>
      <w:r w:rsidRPr="00EB6597">
        <w:rPr>
          <w:sz w:val="22"/>
          <w:szCs w:val="22"/>
          <w:lang w:val="sr-Cyrl-CS"/>
        </w:rPr>
        <w:t>у делу трошкова стечајног поступка</w:t>
      </w:r>
      <w:r w:rsidRPr="00EB6597">
        <w:rPr>
          <w:lang w:val="sr-Cyrl-CS"/>
        </w:rPr>
        <w:t>,</w:t>
      </w:r>
      <w:r w:rsidRPr="00EB6597">
        <w:rPr>
          <w:sz w:val="22"/>
          <w:szCs w:val="22"/>
          <w:lang w:val="sr-Cyrl-CS"/>
        </w:rPr>
        <w:t xml:space="preserve"> у колону </w:t>
      </w:r>
      <w:r w:rsidRPr="00EB6597">
        <w:rPr>
          <w:smallCaps/>
          <w:sz w:val="22"/>
          <w:szCs w:val="22"/>
          <w:lang w:val="sr-Cyrl-CS"/>
        </w:rPr>
        <w:t>Стварно настали трошкови у извештајном периоду</w:t>
      </w:r>
      <w:r w:rsidRPr="00EB6597">
        <w:rPr>
          <w:sz w:val="22"/>
          <w:szCs w:val="22"/>
          <w:lang w:val="sr-Cyrl-CS"/>
        </w:rPr>
        <w:t xml:space="preserve"> уносе се фактурисане и укалкулисане обавезе које се односе на период. Укупан износ у овој колони треба да буде једнак укупном износу у спецификацији улазних фактура, која се у електронском облику доставља уз извештај</w:t>
      </w:r>
      <w:r w:rsidRPr="00EB6597">
        <w:rPr>
          <w:sz w:val="22"/>
          <w:szCs w:val="22"/>
          <w:lang w:val="sr-Latn-CS"/>
        </w:rPr>
        <w:t xml:space="preserve">. </w:t>
      </w:r>
      <w:r w:rsidRPr="00EB6597">
        <w:rPr>
          <w:sz w:val="22"/>
          <w:szCs w:val="22"/>
          <w:lang w:val="sr-Cyrl-CS"/>
        </w:rPr>
        <w:t>То значи да у спецификацији улазних фактура треба навести не само трошкове настале по основу примљених фактура већ и трошкове који се обрачунавају (као што су бруто зараде, прелиминарна награда стечајном управнику, накнада трошкова чланова одбора поверилаца, накнаде Агенцији за лиценцирање стечајних управника и др.) или плаћају по решењу (порези, судске и административне таксе и др.).</w:t>
      </w:r>
      <w:r w:rsidR="006E697B">
        <w:rPr>
          <w:sz w:val="22"/>
          <w:szCs w:val="22"/>
          <w:lang w:val="sr-Cyrl-CS"/>
        </w:rPr>
        <w:t xml:space="preserve"> </w:t>
      </w:r>
      <w:r w:rsidR="006E697B" w:rsidRPr="006E697B">
        <w:rPr>
          <w:sz w:val="22"/>
          <w:szCs w:val="22"/>
          <w:lang w:val="sr-Cyrl-CS"/>
        </w:rPr>
        <w:t xml:space="preserve">У коментару ове табеле, посебно образложити </w:t>
      </w:r>
      <w:r w:rsidR="00567D27">
        <w:rPr>
          <w:sz w:val="22"/>
          <w:szCs w:val="22"/>
          <w:lang w:val="sr-Cyrl-CS"/>
        </w:rPr>
        <w:t xml:space="preserve"> </w:t>
      </w:r>
      <w:r w:rsidR="006E697B" w:rsidRPr="006E697B">
        <w:rPr>
          <w:sz w:val="22"/>
          <w:szCs w:val="22"/>
          <w:lang w:val="sr-Cyrl-CS"/>
        </w:rPr>
        <w:t>уколико су стварно настали трошкови већи од одобрених трошкова, као и разлоге неплаћања трошкова када на текућем рачуну има средстава за измирење истих</w:t>
      </w:r>
      <w:r w:rsidR="009178AA">
        <w:rPr>
          <w:rFonts w:ascii="Arial" w:hAnsi="Arial" w:cs="Arial"/>
          <w:sz w:val="20"/>
          <w:szCs w:val="20"/>
        </w:rPr>
        <w:t>.</w:t>
      </w:r>
    </w:p>
    <w:p w:rsidR="00EB6597" w:rsidRPr="00B01084" w:rsidRDefault="00EB6597" w:rsidP="000E207B">
      <w:pPr>
        <w:pStyle w:val="Footer"/>
        <w:tabs>
          <w:tab w:val="clear" w:pos="4153"/>
          <w:tab w:val="clear" w:pos="8306"/>
          <w:tab w:val="left" w:pos="851"/>
        </w:tabs>
        <w:ind w:left="720"/>
        <w:jc w:val="both"/>
        <w:rPr>
          <w:sz w:val="22"/>
          <w:szCs w:val="22"/>
          <w:lang w:val="sr-Cyrl-CS"/>
        </w:rPr>
      </w:pPr>
    </w:p>
    <w:p w:rsidR="00202012" w:rsidRDefault="00202012" w:rsidP="007B1928">
      <w:pPr>
        <w:pStyle w:val="Footer"/>
        <w:tabs>
          <w:tab w:val="clear" w:pos="4153"/>
          <w:tab w:val="clear" w:pos="8306"/>
          <w:tab w:val="left" w:pos="851"/>
        </w:tabs>
        <w:jc w:val="both"/>
        <w:rPr>
          <w:sz w:val="22"/>
          <w:szCs w:val="22"/>
          <w:lang w:val="sr-Cyrl-CS"/>
        </w:rPr>
      </w:pPr>
    </w:p>
    <w:p w:rsidR="00202012" w:rsidRDefault="0035102C" w:rsidP="007B1928">
      <w:pPr>
        <w:pStyle w:val="Footer"/>
        <w:tabs>
          <w:tab w:val="clear" w:pos="4153"/>
          <w:tab w:val="clear" w:pos="8306"/>
          <w:tab w:val="left" w:pos="851"/>
        </w:tabs>
        <w:jc w:val="both"/>
        <w:rPr>
          <w:sz w:val="22"/>
          <w:szCs w:val="22"/>
        </w:rPr>
      </w:pPr>
      <w:r w:rsidRPr="0035102C">
        <w:rPr>
          <w:sz w:val="22"/>
          <w:szCs w:val="22"/>
          <w:lang w:val="sr-Cyrl-CS"/>
        </w:rPr>
        <w:t>На крају извештаја у делу АКТИВНОСТИ У ИЗВЕШТАЈНОМ ПЕРИОДУ треба описати све активности које су настале у извештајном периоду. То значи да треба описати ток стечајног поступка, а уколико нема никаквих проме</w:t>
      </w:r>
      <w:r w:rsidR="00520809">
        <w:rPr>
          <w:sz w:val="22"/>
          <w:szCs w:val="22"/>
          <w:lang w:val="sr-Cyrl-CS"/>
        </w:rPr>
        <w:t xml:space="preserve">на </w:t>
      </w:r>
      <w:r w:rsidRPr="0035102C">
        <w:rPr>
          <w:sz w:val="22"/>
          <w:szCs w:val="22"/>
          <w:lang w:val="sr-Cyrl-CS"/>
        </w:rPr>
        <w:t>у току периода треба навести разлоге због којих се поступак стечаја не закључује.  Овај део извештаја је јако битан, јер се на завршном рочишту, када стечајни управник образлаже завршни рачун стечајног дужника са свим приходима и расходима, одлучује и о награди стечајног управника, која може бити и увећана ако је стечајни управник добро и квалитетно радио.</w:t>
      </w:r>
    </w:p>
    <w:p w:rsidR="004B0CF9" w:rsidRDefault="004B0CF9" w:rsidP="007B1928">
      <w:pPr>
        <w:pStyle w:val="Footer"/>
        <w:tabs>
          <w:tab w:val="clear" w:pos="4153"/>
          <w:tab w:val="clear" w:pos="8306"/>
          <w:tab w:val="left" w:pos="851"/>
        </w:tabs>
        <w:jc w:val="both"/>
        <w:rPr>
          <w:sz w:val="22"/>
          <w:szCs w:val="22"/>
        </w:rPr>
      </w:pPr>
    </w:p>
    <w:p w:rsidR="009B28A0" w:rsidRDefault="009B28A0" w:rsidP="00623C84">
      <w:pPr>
        <w:pStyle w:val="Footer"/>
        <w:tabs>
          <w:tab w:val="clear" w:pos="4153"/>
          <w:tab w:val="clear" w:pos="8306"/>
          <w:tab w:val="left" w:pos="851"/>
        </w:tabs>
        <w:jc w:val="both"/>
        <w:rPr>
          <w:b/>
          <w:sz w:val="22"/>
          <w:szCs w:val="22"/>
          <w:lang w:val="sr-Cyrl-RS"/>
        </w:rPr>
      </w:pPr>
    </w:p>
    <w:p w:rsidR="009B28A0" w:rsidRDefault="009B28A0" w:rsidP="00623C84">
      <w:pPr>
        <w:pStyle w:val="Footer"/>
        <w:tabs>
          <w:tab w:val="clear" w:pos="4153"/>
          <w:tab w:val="clear" w:pos="8306"/>
          <w:tab w:val="left" w:pos="851"/>
        </w:tabs>
        <w:jc w:val="both"/>
        <w:rPr>
          <w:b/>
          <w:sz w:val="22"/>
          <w:szCs w:val="22"/>
          <w:lang w:val="sr-Cyrl-RS"/>
        </w:rPr>
      </w:pPr>
    </w:p>
    <w:p w:rsidR="00623C84" w:rsidRDefault="00623C84" w:rsidP="00623C84">
      <w:pPr>
        <w:pStyle w:val="Footer"/>
        <w:tabs>
          <w:tab w:val="clear" w:pos="4153"/>
          <w:tab w:val="clear" w:pos="8306"/>
          <w:tab w:val="left" w:pos="851"/>
        </w:tabs>
        <w:jc w:val="both"/>
        <w:rPr>
          <w:sz w:val="22"/>
          <w:szCs w:val="22"/>
          <w:lang w:val="sr-Cyrl-RS"/>
        </w:rPr>
      </w:pPr>
      <w:r w:rsidRPr="0062106D">
        <w:rPr>
          <w:b/>
          <w:sz w:val="22"/>
          <w:szCs w:val="22"/>
          <w:lang w:val="sr-Cyrl-RS"/>
        </w:rPr>
        <w:t>Пример</w:t>
      </w:r>
      <w:r>
        <w:rPr>
          <w:sz w:val="22"/>
          <w:szCs w:val="22"/>
          <w:lang w:val="sr-Cyrl-RS"/>
        </w:rPr>
        <w:t xml:space="preserve"> евидентирања промена на имовини стечајног дужника након кор</w:t>
      </w:r>
      <w:r w:rsidR="00567D27">
        <w:rPr>
          <w:sz w:val="22"/>
          <w:szCs w:val="22"/>
          <w:lang w:val="sr-Cyrl-RS"/>
        </w:rPr>
        <w:t>иговања вредности по основу</w:t>
      </w:r>
      <w:r>
        <w:rPr>
          <w:sz w:val="22"/>
          <w:szCs w:val="22"/>
          <w:lang w:val="sr-Cyrl-RS"/>
        </w:rPr>
        <w:t xml:space="preserve"> процене вредности објеката, земљишта, опреме и залиха:</w:t>
      </w:r>
    </w:p>
    <w:p w:rsidR="00BB709F" w:rsidRDefault="00BB709F" w:rsidP="00623C84">
      <w:pPr>
        <w:pStyle w:val="Footer"/>
        <w:tabs>
          <w:tab w:val="clear" w:pos="4153"/>
          <w:tab w:val="clear" w:pos="8306"/>
          <w:tab w:val="left" w:pos="851"/>
        </w:tabs>
        <w:jc w:val="both"/>
        <w:rPr>
          <w:sz w:val="22"/>
          <w:szCs w:val="22"/>
          <w:lang w:val="sr-Cyrl-RS"/>
        </w:rPr>
      </w:pPr>
    </w:p>
    <w:p w:rsidR="00BB709F" w:rsidRDefault="00BB709F" w:rsidP="00623C84">
      <w:pPr>
        <w:pStyle w:val="Footer"/>
        <w:tabs>
          <w:tab w:val="clear" w:pos="4153"/>
          <w:tab w:val="clear" w:pos="8306"/>
          <w:tab w:val="left" w:pos="851"/>
        </w:tabs>
        <w:jc w:val="both"/>
        <w:rPr>
          <w:sz w:val="22"/>
          <w:szCs w:val="22"/>
          <w:lang w:val="sr-Cyrl-RS"/>
        </w:rPr>
      </w:pPr>
    </w:p>
    <w:p w:rsidR="008E54CF" w:rsidRDefault="00022EE0" w:rsidP="0062106D">
      <w:pPr>
        <w:pStyle w:val="Footer"/>
        <w:tabs>
          <w:tab w:val="clear" w:pos="4153"/>
          <w:tab w:val="clear" w:pos="8306"/>
          <w:tab w:val="left" w:pos="851"/>
        </w:tabs>
        <w:jc w:val="both"/>
        <w:rPr>
          <w:sz w:val="22"/>
          <w:szCs w:val="22"/>
          <w:lang w:val="sr-Cyrl-RS"/>
        </w:rPr>
      </w:pPr>
      <w:r>
        <w:rPr>
          <w:noProof/>
          <w:sz w:val="22"/>
          <w:szCs w:val="22"/>
          <w:lang w:val="sr-Latn-RS" w:eastAsia="sr-Latn-RS"/>
        </w:rPr>
        <w:lastRenderedPageBreak/>
        <w:drawing>
          <wp:anchor distT="0" distB="0" distL="114300" distR="114300" simplePos="0" relativeHeight="251658752" behindDoc="0" locked="0" layoutInCell="1" allowOverlap="1">
            <wp:simplePos x="0" y="0"/>
            <wp:positionH relativeFrom="column">
              <wp:posOffset>-266700</wp:posOffset>
            </wp:positionH>
            <wp:positionV relativeFrom="paragraph">
              <wp:posOffset>-248285</wp:posOffset>
            </wp:positionV>
            <wp:extent cx="6523990" cy="60598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3990" cy="6059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9A8" w:rsidRDefault="007F59A8" w:rsidP="0062106D">
      <w:pPr>
        <w:pStyle w:val="Footer"/>
        <w:tabs>
          <w:tab w:val="clear" w:pos="4153"/>
          <w:tab w:val="clear" w:pos="8306"/>
          <w:tab w:val="left" w:pos="851"/>
        </w:tabs>
        <w:jc w:val="both"/>
        <w:rPr>
          <w:sz w:val="22"/>
          <w:szCs w:val="22"/>
          <w:lang w:val="sr-Cyrl-RS"/>
        </w:rPr>
      </w:pPr>
    </w:p>
    <w:p w:rsidR="007F59A8" w:rsidRDefault="007F59A8" w:rsidP="0062106D">
      <w:pPr>
        <w:pStyle w:val="Footer"/>
        <w:tabs>
          <w:tab w:val="clear" w:pos="4153"/>
          <w:tab w:val="clear" w:pos="8306"/>
          <w:tab w:val="left" w:pos="851"/>
        </w:tabs>
        <w:jc w:val="both"/>
        <w:rPr>
          <w:sz w:val="22"/>
          <w:szCs w:val="22"/>
          <w:lang w:val="sr-Cyrl-RS"/>
        </w:rPr>
      </w:pPr>
    </w:p>
    <w:p w:rsidR="00BC5BB7" w:rsidRPr="002A25B5" w:rsidRDefault="00BC5BB7" w:rsidP="00BC5BB7">
      <w:pPr>
        <w:pStyle w:val="Footer"/>
        <w:tabs>
          <w:tab w:val="clear" w:pos="4153"/>
          <w:tab w:val="clear" w:pos="8306"/>
          <w:tab w:val="left" w:pos="851"/>
        </w:tabs>
        <w:jc w:val="both"/>
        <w:rPr>
          <w:sz w:val="22"/>
          <w:szCs w:val="22"/>
          <w:lang w:val="sr-Cyrl-RS"/>
        </w:rPr>
      </w:pPr>
      <w:r w:rsidRPr="002A25B5">
        <w:rPr>
          <w:sz w:val="22"/>
          <w:szCs w:val="22"/>
          <w:lang w:val="sr-Cyrl-RS"/>
        </w:rPr>
        <w:t>Процењене ликвидационе вредности:</w:t>
      </w:r>
    </w:p>
    <w:p w:rsidR="00BC5BB7" w:rsidRPr="002A25B5" w:rsidRDefault="00BC5BB7" w:rsidP="00BC5BB7">
      <w:pPr>
        <w:pStyle w:val="Footer"/>
        <w:tabs>
          <w:tab w:val="clear" w:pos="4153"/>
          <w:tab w:val="clear" w:pos="8306"/>
          <w:tab w:val="left" w:pos="851"/>
        </w:tabs>
        <w:jc w:val="both"/>
        <w:rPr>
          <w:sz w:val="22"/>
          <w:szCs w:val="22"/>
          <w:lang w:val="sr-Latn-RS"/>
        </w:rPr>
      </w:pPr>
      <w:r>
        <w:rPr>
          <w:sz w:val="22"/>
          <w:szCs w:val="22"/>
          <w:lang w:val="sr-Cyrl-RS"/>
        </w:rPr>
        <w:tab/>
      </w:r>
      <w:r>
        <w:rPr>
          <w:sz w:val="22"/>
          <w:szCs w:val="22"/>
          <w:lang w:val="sr-Cyrl-RS"/>
        </w:rPr>
        <w:tab/>
      </w:r>
      <w:r>
        <w:rPr>
          <w:sz w:val="22"/>
          <w:szCs w:val="22"/>
          <w:lang w:val="sr-Cyrl-RS"/>
        </w:rPr>
        <w:tab/>
      </w:r>
      <w:r w:rsidRPr="002A25B5">
        <w:rPr>
          <w:sz w:val="22"/>
          <w:szCs w:val="22"/>
          <w:lang w:val="sr-Cyrl-RS"/>
        </w:rPr>
        <w:t>Објеката</w:t>
      </w:r>
      <w:r>
        <w:rPr>
          <w:sz w:val="22"/>
          <w:szCs w:val="22"/>
          <w:lang w:val="sr-Cyrl-RS"/>
        </w:rPr>
        <w:t xml:space="preserve"> </w:t>
      </w:r>
      <w:r w:rsidRPr="002A25B5">
        <w:rPr>
          <w:sz w:val="22"/>
          <w:szCs w:val="22"/>
          <w:lang w:val="sr-Cyrl-RS"/>
        </w:rPr>
        <w:t>и земљишта</w:t>
      </w:r>
      <w:r w:rsidRPr="002A25B5">
        <w:rPr>
          <w:sz w:val="22"/>
          <w:szCs w:val="22"/>
          <w:lang w:val="sr-Cyrl-RS"/>
        </w:rPr>
        <w:tab/>
      </w:r>
      <w:r w:rsidR="00BB709F">
        <w:rPr>
          <w:sz w:val="22"/>
          <w:szCs w:val="22"/>
          <w:lang w:val="sr-Cyrl-RS"/>
        </w:rPr>
        <w:t xml:space="preserve"> </w:t>
      </w:r>
      <w:r w:rsidRPr="002A25B5">
        <w:rPr>
          <w:sz w:val="22"/>
          <w:szCs w:val="22"/>
          <w:lang w:val="sr-Latn-RS"/>
        </w:rPr>
        <w:t>220.420.658,30</w:t>
      </w:r>
    </w:p>
    <w:p w:rsidR="00BC5BB7" w:rsidRPr="002A25B5" w:rsidRDefault="00BC5BB7" w:rsidP="00BC5BB7">
      <w:pPr>
        <w:pStyle w:val="Footer"/>
        <w:tabs>
          <w:tab w:val="clear" w:pos="4153"/>
          <w:tab w:val="clear" w:pos="8306"/>
          <w:tab w:val="left" w:pos="851"/>
        </w:tabs>
        <w:jc w:val="both"/>
        <w:rPr>
          <w:sz w:val="22"/>
          <w:szCs w:val="22"/>
          <w:lang w:val="sr-Cyrl-RS"/>
        </w:rPr>
      </w:pPr>
      <w:r>
        <w:rPr>
          <w:sz w:val="22"/>
          <w:szCs w:val="22"/>
          <w:lang w:val="sr-Cyrl-RS"/>
        </w:rPr>
        <w:tab/>
      </w:r>
      <w:r>
        <w:rPr>
          <w:sz w:val="22"/>
          <w:szCs w:val="22"/>
          <w:lang w:val="sr-Cyrl-RS"/>
        </w:rPr>
        <w:tab/>
      </w:r>
      <w:r>
        <w:rPr>
          <w:sz w:val="22"/>
          <w:szCs w:val="22"/>
          <w:lang w:val="sr-Cyrl-RS"/>
        </w:rPr>
        <w:tab/>
      </w:r>
      <w:r w:rsidRPr="002A25B5">
        <w:rPr>
          <w:sz w:val="22"/>
          <w:szCs w:val="22"/>
          <w:lang w:val="sr-Cyrl-RS"/>
        </w:rPr>
        <w:t xml:space="preserve">Опреме </w:t>
      </w:r>
      <w:r>
        <w:rPr>
          <w:sz w:val="22"/>
          <w:szCs w:val="22"/>
          <w:lang w:val="sr-Cyrl-RS"/>
        </w:rPr>
        <w:tab/>
      </w:r>
      <w:r>
        <w:rPr>
          <w:sz w:val="22"/>
          <w:szCs w:val="22"/>
          <w:lang w:val="sr-Cyrl-RS"/>
        </w:rPr>
        <w:tab/>
        <w:t xml:space="preserve">   </w:t>
      </w:r>
      <w:r w:rsidRPr="002A25B5">
        <w:rPr>
          <w:sz w:val="22"/>
          <w:szCs w:val="22"/>
          <w:lang w:val="sr-Cyrl-RS"/>
        </w:rPr>
        <w:t>49.080.375,60</w:t>
      </w:r>
    </w:p>
    <w:p w:rsidR="00BC5BB7" w:rsidRDefault="00BC5BB7" w:rsidP="00BC5BB7">
      <w:pPr>
        <w:pStyle w:val="Footer"/>
        <w:tabs>
          <w:tab w:val="clear" w:pos="4153"/>
          <w:tab w:val="clear" w:pos="8306"/>
          <w:tab w:val="left" w:pos="851"/>
        </w:tabs>
        <w:jc w:val="both"/>
        <w:rPr>
          <w:sz w:val="22"/>
          <w:szCs w:val="22"/>
          <w:lang w:val="sr-Cyrl-RS"/>
        </w:rPr>
      </w:pPr>
      <w:r>
        <w:rPr>
          <w:sz w:val="22"/>
          <w:szCs w:val="22"/>
          <w:lang w:val="sr-Cyrl-RS"/>
        </w:rPr>
        <w:tab/>
      </w:r>
      <w:r>
        <w:rPr>
          <w:sz w:val="22"/>
          <w:szCs w:val="22"/>
          <w:lang w:val="sr-Cyrl-RS"/>
        </w:rPr>
        <w:tab/>
      </w:r>
      <w:r>
        <w:rPr>
          <w:sz w:val="22"/>
          <w:szCs w:val="22"/>
          <w:lang w:val="sr-Cyrl-RS"/>
        </w:rPr>
        <w:tab/>
      </w:r>
      <w:r w:rsidRPr="002A25B5">
        <w:rPr>
          <w:sz w:val="22"/>
          <w:szCs w:val="22"/>
          <w:lang w:val="sr-Cyrl-RS"/>
        </w:rPr>
        <w:t>Залиха</w:t>
      </w:r>
      <w:r>
        <w:rPr>
          <w:sz w:val="22"/>
          <w:szCs w:val="22"/>
          <w:lang w:val="sr-Cyrl-RS"/>
        </w:rPr>
        <w:tab/>
      </w:r>
      <w:r>
        <w:rPr>
          <w:sz w:val="22"/>
          <w:szCs w:val="22"/>
          <w:lang w:val="sr-Cyrl-RS"/>
        </w:rPr>
        <w:tab/>
      </w:r>
      <w:r>
        <w:rPr>
          <w:sz w:val="22"/>
          <w:szCs w:val="22"/>
          <w:lang w:val="sr-Cyrl-RS"/>
        </w:rPr>
        <w:tab/>
        <w:t xml:space="preserve">   </w:t>
      </w:r>
      <w:r w:rsidRPr="005E430E">
        <w:rPr>
          <w:sz w:val="22"/>
          <w:szCs w:val="22"/>
          <w:u w:val="single"/>
          <w:lang w:val="sr-Cyrl-RS"/>
        </w:rPr>
        <w:t xml:space="preserve">  1.873.954,80</w:t>
      </w:r>
    </w:p>
    <w:p w:rsidR="00BC5BB7" w:rsidRDefault="00BC5BB7" w:rsidP="00BC5BB7">
      <w:pPr>
        <w:pStyle w:val="Footer"/>
        <w:tabs>
          <w:tab w:val="clear" w:pos="4153"/>
          <w:tab w:val="clear" w:pos="8306"/>
          <w:tab w:val="left" w:pos="851"/>
        </w:tabs>
        <w:jc w:val="both"/>
        <w:rPr>
          <w:sz w:val="22"/>
          <w:szCs w:val="22"/>
          <w:lang w:val="sr-Cyrl-RS"/>
        </w:rPr>
      </w:pPr>
      <w:r>
        <w:rPr>
          <w:sz w:val="22"/>
          <w:szCs w:val="22"/>
          <w:lang w:val="sr-Cyrl-RS"/>
        </w:rPr>
        <w:tab/>
      </w:r>
      <w:r>
        <w:rPr>
          <w:sz w:val="22"/>
          <w:szCs w:val="22"/>
          <w:lang w:val="sr-Cyrl-RS"/>
        </w:rPr>
        <w:tab/>
        <w:t xml:space="preserve">           </w:t>
      </w:r>
      <w:r>
        <w:rPr>
          <w:sz w:val="22"/>
          <w:szCs w:val="22"/>
          <w:lang w:val="sr-Cyrl-RS"/>
        </w:rPr>
        <w:tab/>
      </w:r>
      <w:r>
        <w:rPr>
          <w:sz w:val="22"/>
          <w:szCs w:val="22"/>
          <w:lang w:val="sr-Cyrl-RS"/>
        </w:rPr>
        <w:tab/>
      </w:r>
      <w:r>
        <w:rPr>
          <w:sz w:val="22"/>
          <w:szCs w:val="22"/>
          <w:lang w:val="sr-Cyrl-RS"/>
        </w:rPr>
        <w:tab/>
      </w:r>
      <w:r>
        <w:rPr>
          <w:sz w:val="22"/>
          <w:szCs w:val="22"/>
          <w:lang w:val="sr-Cyrl-RS"/>
        </w:rPr>
        <w:tab/>
        <w:t xml:space="preserve"> 271.374.988,70</w:t>
      </w:r>
    </w:p>
    <w:p w:rsidR="00BC5BB7" w:rsidRDefault="00BC5BB7" w:rsidP="00BC5BB7">
      <w:pPr>
        <w:pStyle w:val="Footer"/>
        <w:tabs>
          <w:tab w:val="clear" w:pos="4153"/>
          <w:tab w:val="clear" w:pos="8306"/>
          <w:tab w:val="left" w:pos="851"/>
        </w:tabs>
        <w:jc w:val="both"/>
        <w:rPr>
          <w:sz w:val="22"/>
          <w:szCs w:val="22"/>
          <w:lang w:val="sr-Cyrl-RS"/>
        </w:rPr>
      </w:pPr>
    </w:p>
    <w:p w:rsidR="00BC5BB7" w:rsidRDefault="00BC5BB7" w:rsidP="00BF2E61">
      <w:pPr>
        <w:pStyle w:val="Footer"/>
        <w:tabs>
          <w:tab w:val="clear" w:pos="4153"/>
          <w:tab w:val="clear" w:pos="8306"/>
          <w:tab w:val="left" w:pos="851"/>
        </w:tabs>
        <w:jc w:val="both"/>
        <w:rPr>
          <w:sz w:val="22"/>
          <w:szCs w:val="22"/>
          <w:lang w:val="sr-Cyrl-RS"/>
        </w:rPr>
      </w:pPr>
      <w:r>
        <w:rPr>
          <w:sz w:val="22"/>
          <w:szCs w:val="22"/>
          <w:lang w:val="sr-Cyrl-RS"/>
        </w:rPr>
        <w:t xml:space="preserve">Процењена вредност објеката, земљишта и опреме (без залиха) износи </w:t>
      </w:r>
      <w:r w:rsidR="006A17BD">
        <w:rPr>
          <w:sz w:val="22"/>
          <w:szCs w:val="22"/>
          <w:lang w:val="sr-Cyrl-RS"/>
        </w:rPr>
        <w:t>269.501.034,2</w:t>
      </w:r>
      <w:r>
        <w:rPr>
          <w:sz w:val="22"/>
          <w:szCs w:val="22"/>
          <w:lang w:val="sr-Cyrl-RS"/>
        </w:rPr>
        <w:t>0 динара.</w:t>
      </w:r>
    </w:p>
    <w:p w:rsidR="009F0374" w:rsidRDefault="00C44077" w:rsidP="00BF2E61">
      <w:pPr>
        <w:pStyle w:val="Footer"/>
        <w:tabs>
          <w:tab w:val="clear" w:pos="4153"/>
          <w:tab w:val="clear" w:pos="8306"/>
          <w:tab w:val="left" w:pos="851"/>
        </w:tabs>
        <w:jc w:val="both"/>
        <w:rPr>
          <w:sz w:val="22"/>
          <w:szCs w:val="22"/>
          <w:lang w:val="sr-Cyrl-RS"/>
        </w:rPr>
      </w:pPr>
      <w:r>
        <w:rPr>
          <w:sz w:val="22"/>
          <w:szCs w:val="22"/>
          <w:lang w:val="sr-Cyrl-RS"/>
        </w:rPr>
        <w:t xml:space="preserve">Како би </w:t>
      </w:r>
      <w:r w:rsidR="00BF2E61">
        <w:rPr>
          <w:sz w:val="22"/>
          <w:szCs w:val="22"/>
          <w:lang w:val="sr-Cyrl-RS"/>
        </w:rPr>
        <w:t>уписао</w:t>
      </w:r>
      <w:r w:rsidR="00F261BE">
        <w:rPr>
          <w:sz w:val="22"/>
          <w:szCs w:val="22"/>
          <w:lang w:val="sr-Cyrl-RS"/>
        </w:rPr>
        <w:t xml:space="preserve"> процењене вредности  некретнина, постројења и опреме</w:t>
      </w:r>
      <w:r>
        <w:rPr>
          <w:sz w:val="22"/>
          <w:szCs w:val="22"/>
          <w:lang w:val="sr-Cyrl-RS"/>
        </w:rPr>
        <w:t>, стечајни управ</w:t>
      </w:r>
      <w:r w:rsidR="006A17BD">
        <w:rPr>
          <w:sz w:val="22"/>
          <w:szCs w:val="22"/>
          <w:lang w:val="sr-Cyrl-RS"/>
        </w:rPr>
        <w:t>ник је морао да изврши корекцију</w:t>
      </w:r>
      <w:r>
        <w:rPr>
          <w:sz w:val="22"/>
          <w:szCs w:val="22"/>
          <w:lang w:val="sr-Cyrl-RS"/>
        </w:rPr>
        <w:t xml:space="preserve"> сваке ставке имо</w:t>
      </w:r>
      <w:r w:rsidR="009F0374">
        <w:rPr>
          <w:sz w:val="22"/>
          <w:szCs w:val="22"/>
          <w:lang w:val="sr-Cyrl-RS"/>
        </w:rPr>
        <w:t>вине појединачно, те је код једних дошло до повећања</w:t>
      </w:r>
      <w:r w:rsidR="006A17BD">
        <w:rPr>
          <w:sz w:val="22"/>
          <w:szCs w:val="22"/>
          <w:lang w:val="sr-Cyrl-RS"/>
        </w:rPr>
        <w:t xml:space="preserve"> у укупном износу од 84.818.547,00 динара</w:t>
      </w:r>
      <w:r w:rsidR="009F0374">
        <w:rPr>
          <w:sz w:val="22"/>
          <w:szCs w:val="22"/>
          <w:lang w:val="sr-Cyrl-RS"/>
        </w:rPr>
        <w:t>, а код других</w:t>
      </w:r>
      <w:r>
        <w:rPr>
          <w:sz w:val="22"/>
          <w:szCs w:val="22"/>
          <w:lang w:val="sr-Cyrl-RS"/>
        </w:rPr>
        <w:t xml:space="preserve"> до умањења вредности</w:t>
      </w:r>
      <w:r w:rsidR="006A17BD">
        <w:rPr>
          <w:sz w:val="22"/>
          <w:szCs w:val="22"/>
          <w:lang w:val="sr-Cyrl-RS"/>
        </w:rPr>
        <w:t xml:space="preserve"> у износу од 76.390.167,60 динара. </w:t>
      </w:r>
    </w:p>
    <w:p w:rsidR="009F0374" w:rsidRDefault="009F0374" w:rsidP="00BC5BB7">
      <w:pPr>
        <w:pStyle w:val="Footer"/>
        <w:tabs>
          <w:tab w:val="clear" w:pos="4153"/>
          <w:tab w:val="clear" w:pos="8306"/>
          <w:tab w:val="left" w:pos="851"/>
        </w:tabs>
        <w:jc w:val="both"/>
        <w:rPr>
          <w:sz w:val="22"/>
          <w:szCs w:val="22"/>
          <w:lang w:val="sr-Cyrl-RS"/>
        </w:rPr>
      </w:pPr>
    </w:p>
    <w:p w:rsidR="00FB387D" w:rsidRDefault="0087116A" w:rsidP="0062106D">
      <w:pPr>
        <w:pStyle w:val="Footer"/>
        <w:tabs>
          <w:tab w:val="clear" w:pos="4153"/>
          <w:tab w:val="clear" w:pos="8306"/>
          <w:tab w:val="left" w:pos="851"/>
        </w:tabs>
        <w:jc w:val="both"/>
        <w:rPr>
          <w:sz w:val="22"/>
          <w:szCs w:val="22"/>
          <w:lang w:val="sr-Cyrl-RS"/>
        </w:rPr>
      </w:pPr>
      <w:r>
        <w:rPr>
          <w:sz w:val="22"/>
          <w:szCs w:val="22"/>
          <w:lang w:val="sr-Cyrl-RS"/>
        </w:rPr>
        <w:lastRenderedPageBreak/>
        <w:t>Потраживања су увећана за износ од 4.069.360,69 динара по основу фактурисања закупа, а умањена у износу од 2.034.454,68 динара по основу наплате потраживања.</w:t>
      </w:r>
      <w:r w:rsidR="00FB387D">
        <w:rPr>
          <w:sz w:val="22"/>
          <w:szCs w:val="22"/>
          <w:lang w:val="sr-Cyrl-RS"/>
        </w:rPr>
        <w:t xml:space="preserve"> </w:t>
      </w:r>
    </w:p>
    <w:p w:rsidR="00FB387D" w:rsidRDefault="00FB387D" w:rsidP="0062106D">
      <w:pPr>
        <w:pStyle w:val="Footer"/>
        <w:tabs>
          <w:tab w:val="clear" w:pos="4153"/>
          <w:tab w:val="clear" w:pos="8306"/>
          <w:tab w:val="left" w:pos="851"/>
        </w:tabs>
        <w:jc w:val="both"/>
        <w:rPr>
          <w:sz w:val="22"/>
          <w:szCs w:val="22"/>
          <w:lang w:val="sr-Cyrl-RS"/>
        </w:rPr>
      </w:pPr>
    </w:p>
    <w:p w:rsidR="003016B6" w:rsidRPr="00FB387D" w:rsidRDefault="00FB387D" w:rsidP="0062106D">
      <w:pPr>
        <w:pStyle w:val="Footer"/>
        <w:tabs>
          <w:tab w:val="clear" w:pos="4153"/>
          <w:tab w:val="clear" w:pos="8306"/>
          <w:tab w:val="left" w:pos="851"/>
        </w:tabs>
        <w:jc w:val="both"/>
        <w:rPr>
          <w:sz w:val="22"/>
          <w:szCs w:val="22"/>
          <w:lang w:val="sr-Cyrl-RS"/>
        </w:rPr>
      </w:pPr>
      <w:r>
        <w:rPr>
          <w:sz w:val="22"/>
          <w:szCs w:val="22"/>
          <w:lang w:val="sr-Cyrl-RS"/>
        </w:rPr>
        <w:t xml:space="preserve">Проценом је утврђена вредност залиха у износу </w:t>
      </w:r>
      <w:r w:rsidRPr="00FB387D">
        <w:rPr>
          <w:sz w:val="22"/>
          <w:szCs w:val="22"/>
          <w:lang w:val="sr-Cyrl-RS"/>
        </w:rPr>
        <w:t xml:space="preserve">од </w:t>
      </w:r>
      <w:r w:rsidR="0087116A" w:rsidRPr="00FB387D">
        <w:rPr>
          <w:sz w:val="22"/>
          <w:szCs w:val="22"/>
          <w:lang w:val="sr-Cyrl-RS"/>
        </w:rPr>
        <w:t xml:space="preserve"> </w:t>
      </w:r>
      <w:r w:rsidRPr="00FB387D">
        <w:rPr>
          <w:sz w:val="22"/>
          <w:szCs w:val="22"/>
          <w:lang w:val="sr-Cyrl-RS"/>
        </w:rPr>
        <w:t>1.873.954,80</w:t>
      </w:r>
      <w:r>
        <w:rPr>
          <w:sz w:val="22"/>
          <w:szCs w:val="22"/>
          <w:lang w:val="sr-Cyrl-RS"/>
        </w:rPr>
        <w:t xml:space="preserve"> динара, а како је њихова вредност</w:t>
      </w:r>
    </w:p>
    <w:p w:rsidR="00F1710F" w:rsidRDefault="00FB387D" w:rsidP="0062106D">
      <w:pPr>
        <w:pStyle w:val="Footer"/>
        <w:tabs>
          <w:tab w:val="clear" w:pos="4153"/>
          <w:tab w:val="clear" w:pos="8306"/>
          <w:tab w:val="left" w:pos="851"/>
        </w:tabs>
        <w:jc w:val="both"/>
        <w:rPr>
          <w:sz w:val="22"/>
          <w:szCs w:val="22"/>
          <w:lang w:val="sr-Cyrl-RS"/>
        </w:rPr>
      </w:pPr>
      <w:r>
        <w:rPr>
          <w:sz w:val="22"/>
          <w:szCs w:val="22"/>
          <w:lang w:val="sr-Cyrl-RS"/>
        </w:rPr>
        <w:t>на почетку периода износила 2.465.730,00 динара</w:t>
      </w:r>
      <w:r w:rsidR="00430A9D">
        <w:rPr>
          <w:sz w:val="22"/>
          <w:szCs w:val="22"/>
          <w:lang w:val="sr-Cyrl-RS"/>
        </w:rPr>
        <w:t>, исте је требало умањити у износу од 591.775,20 динара.</w:t>
      </w:r>
    </w:p>
    <w:p w:rsidR="00430A9D" w:rsidRDefault="00430A9D" w:rsidP="0062106D">
      <w:pPr>
        <w:pStyle w:val="Footer"/>
        <w:tabs>
          <w:tab w:val="clear" w:pos="4153"/>
          <w:tab w:val="clear" w:pos="8306"/>
          <w:tab w:val="left" w:pos="851"/>
        </w:tabs>
        <w:jc w:val="both"/>
        <w:rPr>
          <w:sz w:val="22"/>
          <w:szCs w:val="22"/>
          <w:lang w:val="sr-Cyrl-RS"/>
        </w:rPr>
      </w:pPr>
    </w:p>
    <w:p w:rsidR="006458D1" w:rsidRDefault="006458D1" w:rsidP="00CB3C99">
      <w:pPr>
        <w:pStyle w:val="Footer"/>
        <w:tabs>
          <w:tab w:val="clear" w:pos="4153"/>
          <w:tab w:val="clear" w:pos="8306"/>
          <w:tab w:val="left" w:pos="851"/>
        </w:tabs>
        <w:jc w:val="both"/>
        <w:rPr>
          <w:noProof/>
          <w:lang w:val="sr-Latn-RS" w:eastAsia="sr-Latn-RS"/>
        </w:rPr>
      </w:pPr>
      <w:r>
        <w:rPr>
          <w:noProof/>
          <w:lang w:val="sr-Latn-RS" w:eastAsia="sr-Latn-RS"/>
        </w:rPr>
        <w:drawing>
          <wp:anchor distT="0" distB="0" distL="114300" distR="114300" simplePos="0" relativeHeight="251656704" behindDoc="0" locked="0" layoutInCell="1" allowOverlap="1" wp14:anchorId="2E6C1E83" wp14:editId="04DB5824">
            <wp:simplePos x="0" y="0"/>
            <wp:positionH relativeFrom="column">
              <wp:posOffset>-392430</wp:posOffset>
            </wp:positionH>
            <wp:positionV relativeFrom="page">
              <wp:posOffset>2657475</wp:posOffset>
            </wp:positionV>
            <wp:extent cx="6711315" cy="18859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1315" cy="1885950"/>
                    </a:xfrm>
                    <a:prstGeom prst="rect">
                      <a:avLst/>
                    </a:prstGeom>
                    <a:pattFill prst="pct5">
                      <a:fgClr>
                        <a:schemeClr val="accent1"/>
                      </a:fgClr>
                      <a:bgClr>
                        <a:schemeClr val="bg1"/>
                      </a:bgClr>
                    </a:pattFill>
                    <a:ln>
                      <a:noFill/>
                    </a:ln>
                  </pic:spPr>
                </pic:pic>
              </a:graphicData>
            </a:graphic>
            <wp14:sizeRelH relativeFrom="margin">
              <wp14:pctWidth>0</wp14:pctWidth>
            </wp14:sizeRelH>
            <wp14:sizeRelV relativeFrom="margin">
              <wp14:pctHeight>0</wp14:pctHeight>
            </wp14:sizeRelV>
          </wp:anchor>
        </w:drawing>
      </w:r>
      <w:r w:rsidR="002C70A9">
        <w:rPr>
          <w:sz w:val="22"/>
          <w:szCs w:val="22"/>
          <w:lang w:val="sr-Cyrl-RS"/>
        </w:rPr>
        <w:t>У току периода било је промена на пословним рачун</w:t>
      </w:r>
      <w:r w:rsidR="00CB3C99">
        <w:rPr>
          <w:sz w:val="22"/>
          <w:szCs w:val="22"/>
          <w:lang w:val="sr-Cyrl-RS"/>
        </w:rPr>
        <w:t>има стечајног дужника (прилив у износу од 2.186.683,48 динара и одлив у износу од 2.209.157,66 динара), као што је приказано у следећој табели:</w:t>
      </w:r>
      <w:r w:rsidRPr="006458D1">
        <w:rPr>
          <w:noProof/>
          <w:lang w:val="sr-Latn-RS" w:eastAsia="sr-Latn-RS"/>
        </w:rPr>
        <w:t xml:space="preserve"> </w:t>
      </w:r>
    </w:p>
    <w:p w:rsidR="006458D1" w:rsidRDefault="006458D1" w:rsidP="00CB3C99">
      <w:pPr>
        <w:pStyle w:val="Footer"/>
        <w:tabs>
          <w:tab w:val="clear" w:pos="4153"/>
          <w:tab w:val="clear" w:pos="8306"/>
          <w:tab w:val="left" w:pos="851"/>
        </w:tabs>
        <w:jc w:val="both"/>
        <w:rPr>
          <w:noProof/>
          <w:lang w:val="sr-Latn-RS" w:eastAsia="sr-Latn-RS"/>
        </w:rPr>
      </w:pPr>
    </w:p>
    <w:p w:rsidR="00A14B58" w:rsidRDefault="00A14B58" w:rsidP="00CB3C99">
      <w:pPr>
        <w:pStyle w:val="Footer"/>
        <w:tabs>
          <w:tab w:val="clear" w:pos="4153"/>
          <w:tab w:val="clear" w:pos="8306"/>
          <w:tab w:val="left" w:pos="851"/>
        </w:tabs>
        <w:jc w:val="both"/>
        <w:rPr>
          <w:lang w:val="sr-Cyrl-RS"/>
        </w:rPr>
      </w:pPr>
    </w:p>
    <w:p w:rsidR="00360C6E" w:rsidRPr="00753F90" w:rsidRDefault="00AC7803" w:rsidP="00360C6E">
      <w:pPr>
        <w:rPr>
          <w:rFonts w:ascii="Times New Roman" w:hAnsi="Times New Roman" w:cs="Times New Roman"/>
          <w:lang w:val="sr-Cyrl-RS" w:eastAsia="en-GB"/>
        </w:rPr>
      </w:pPr>
      <w:r w:rsidRPr="00753F90">
        <w:rPr>
          <w:rFonts w:ascii="Times New Roman" w:hAnsi="Times New Roman" w:cs="Times New Roman"/>
          <w:lang w:val="sr-Cyrl-RS" w:eastAsia="en-GB"/>
        </w:rPr>
        <w:t>Упоредни приказ вредности</w:t>
      </w:r>
      <w:r w:rsidR="003744E7" w:rsidRPr="00753F90">
        <w:rPr>
          <w:rFonts w:ascii="Times New Roman" w:hAnsi="Times New Roman" w:cs="Times New Roman"/>
          <w:lang w:val="sr-Cyrl-RS" w:eastAsia="en-GB"/>
        </w:rPr>
        <w:t xml:space="preserve"> имовине на почетку извештајног периода, корекција вредности у току периода и на крају извештајног периода:</w:t>
      </w:r>
    </w:p>
    <w:p w:rsidR="00464E06" w:rsidRDefault="00464E06" w:rsidP="00360C6E">
      <w:pPr>
        <w:rPr>
          <w:lang w:val="sr-Cyrl-RS" w:eastAsia="en-GB"/>
        </w:rPr>
      </w:pPr>
    </w:p>
    <w:tbl>
      <w:tblPr>
        <w:tblStyle w:val="TableGrid"/>
        <w:tblW w:w="9747" w:type="dxa"/>
        <w:tblLook w:val="04A0" w:firstRow="1" w:lastRow="0" w:firstColumn="1" w:lastColumn="0" w:noHBand="0" w:noVBand="1"/>
      </w:tblPr>
      <w:tblGrid>
        <w:gridCol w:w="3054"/>
        <w:gridCol w:w="1976"/>
        <w:gridCol w:w="1695"/>
        <w:gridCol w:w="1556"/>
        <w:gridCol w:w="1466"/>
      </w:tblGrid>
      <w:tr w:rsidR="00105105" w:rsidTr="00105105">
        <w:tc>
          <w:tcPr>
            <w:tcW w:w="3085" w:type="dxa"/>
          </w:tcPr>
          <w:p w:rsidR="00105105" w:rsidRPr="00105105" w:rsidRDefault="00105105" w:rsidP="00105105">
            <w:pPr>
              <w:jc w:val="cente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Имовина</w:t>
            </w:r>
          </w:p>
        </w:tc>
        <w:tc>
          <w:tcPr>
            <w:tcW w:w="1985" w:type="dxa"/>
          </w:tcPr>
          <w:p w:rsidR="00105105" w:rsidRPr="00105105" w:rsidRDefault="00105105" w:rsidP="00105105">
            <w:pPr>
              <w:jc w:val="cente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Вредност на почетку периода</w:t>
            </w:r>
          </w:p>
        </w:tc>
        <w:tc>
          <w:tcPr>
            <w:tcW w:w="1701" w:type="dxa"/>
          </w:tcPr>
          <w:p w:rsidR="00105105" w:rsidRPr="00105105" w:rsidRDefault="00105105" w:rsidP="00105105">
            <w:pPr>
              <w:jc w:val="cente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Увећање</w:t>
            </w:r>
          </w:p>
        </w:tc>
        <w:tc>
          <w:tcPr>
            <w:tcW w:w="1559" w:type="dxa"/>
          </w:tcPr>
          <w:p w:rsidR="00105105" w:rsidRPr="00105105" w:rsidRDefault="00105105" w:rsidP="00105105">
            <w:pPr>
              <w:jc w:val="cente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Умањење</w:t>
            </w:r>
          </w:p>
        </w:tc>
        <w:tc>
          <w:tcPr>
            <w:tcW w:w="1417" w:type="dxa"/>
          </w:tcPr>
          <w:p w:rsidR="00105105" w:rsidRPr="00105105" w:rsidRDefault="00105105" w:rsidP="00105105">
            <w:pPr>
              <w:jc w:val="cente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Вредност на крају периода</w:t>
            </w:r>
          </w:p>
        </w:tc>
      </w:tr>
      <w:tr w:rsidR="00105105" w:rsidRPr="00105105" w:rsidTr="00105105">
        <w:tc>
          <w:tcPr>
            <w:tcW w:w="3085" w:type="dxa"/>
          </w:tcPr>
          <w:p w:rsidR="00105105" w:rsidRPr="00105105" w:rsidRDefault="00105105" w:rsidP="00360C6E">
            <w:pP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Готовина</w:t>
            </w:r>
          </w:p>
        </w:tc>
        <w:tc>
          <w:tcPr>
            <w:tcW w:w="1985" w:type="dxa"/>
          </w:tcPr>
          <w:p w:rsidR="00105105" w:rsidRPr="00105105" w:rsidRDefault="00CB3C99"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143.772,40</w:t>
            </w:r>
          </w:p>
        </w:tc>
        <w:tc>
          <w:tcPr>
            <w:tcW w:w="1701" w:type="dxa"/>
          </w:tcPr>
          <w:p w:rsidR="00105105" w:rsidRPr="00105105" w:rsidRDefault="00CB3C99"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2.186.683,48</w:t>
            </w:r>
          </w:p>
        </w:tc>
        <w:tc>
          <w:tcPr>
            <w:tcW w:w="1559" w:type="dxa"/>
          </w:tcPr>
          <w:p w:rsidR="00105105" w:rsidRPr="00105105" w:rsidRDefault="00CB3C99"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2.209.157,66</w:t>
            </w:r>
          </w:p>
        </w:tc>
        <w:tc>
          <w:tcPr>
            <w:tcW w:w="1417" w:type="dxa"/>
          </w:tcPr>
          <w:p w:rsidR="00105105" w:rsidRPr="00105105" w:rsidRDefault="00CB3C99"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121.298,22</w:t>
            </w:r>
          </w:p>
        </w:tc>
      </w:tr>
      <w:tr w:rsidR="00105105" w:rsidRPr="00105105" w:rsidTr="00105105">
        <w:tc>
          <w:tcPr>
            <w:tcW w:w="3085" w:type="dxa"/>
          </w:tcPr>
          <w:p w:rsidR="00105105" w:rsidRPr="00105105" w:rsidRDefault="00105105" w:rsidP="00360C6E">
            <w:pP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Потраживања</w:t>
            </w:r>
          </w:p>
        </w:tc>
        <w:tc>
          <w:tcPr>
            <w:tcW w:w="1985" w:type="dxa"/>
          </w:tcPr>
          <w:p w:rsidR="00105105" w:rsidRPr="00105105" w:rsidRDefault="00220902"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11.549.179,80</w:t>
            </w:r>
          </w:p>
        </w:tc>
        <w:tc>
          <w:tcPr>
            <w:tcW w:w="1701" w:type="dxa"/>
          </w:tcPr>
          <w:p w:rsidR="00105105" w:rsidRPr="00105105" w:rsidRDefault="00220902"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4.069.360,69</w:t>
            </w:r>
          </w:p>
        </w:tc>
        <w:tc>
          <w:tcPr>
            <w:tcW w:w="1559" w:type="dxa"/>
          </w:tcPr>
          <w:p w:rsidR="00105105" w:rsidRPr="00105105" w:rsidRDefault="00220902"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2.034.454,68</w:t>
            </w:r>
          </w:p>
        </w:tc>
        <w:tc>
          <w:tcPr>
            <w:tcW w:w="1417" w:type="dxa"/>
          </w:tcPr>
          <w:p w:rsidR="00105105" w:rsidRPr="00105105" w:rsidRDefault="00220902"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13.584.085,81</w:t>
            </w:r>
          </w:p>
        </w:tc>
      </w:tr>
      <w:tr w:rsidR="00105105" w:rsidRPr="00105105" w:rsidTr="00105105">
        <w:tc>
          <w:tcPr>
            <w:tcW w:w="3085" w:type="dxa"/>
          </w:tcPr>
          <w:p w:rsidR="00105105" w:rsidRPr="00105105" w:rsidRDefault="00105105" w:rsidP="00360C6E">
            <w:pP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Залихе</w:t>
            </w:r>
          </w:p>
        </w:tc>
        <w:tc>
          <w:tcPr>
            <w:tcW w:w="1985" w:type="dxa"/>
          </w:tcPr>
          <w:p w:rsidR="00105105" w:rsidRPr="00105105" w:rsidRDefault="00B04C60"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2.465.730,00</w:t>
            </w:r>
          </w:p>
        </w:tc>
        <w:tc>
          <w:tcPr>
            <w:tcW w:w="1701" w:type="dxa"/>
          </w:tcPr>
          <w:p w:rsidR="00105105" w:rsidRPr="00105105" w:rsidRDefault="00105105" w:rsidP="00CB3C99">
            <w:pPr>
              <w:jc w:val="right"/>
              <w:rPr>
                <w:rFonts w:ascii="Times New Roman" w:hAnsi="Times New Roman" w:cs="Times New Roman"/>
                <w:sz w:val="20"/>
                <w:szCs w:val="20"/>
                <w:lang w:val="sr-Cyrl-RS" w:eastAsia="en-GB"/>
              </w:rPr>
            </w:pPr>
          </w:p>
        </w:tc>
        <w:tc>
          <w:tcPr>
            <w:tcW w:w="1559" w:type="dxa"/>
          </w:tcPr>
          <w:p w:rsidR="00105105" w:rsidRPr="00105105" w:rsidRDefault="00B04C60"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591.775,20</w:t>
            </w:r>
          </w:p>
        </w:tc>
        <w:tc>
          <w:tcPr>
            <w:tcW w:w="1417" w:type="dxa"/>
          </w:tcPr>
          <w:p w:rsidR="00105105" w:rsidRPr="00105105" w:rsidRDefault="00B04C60"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1.873.954,80</w:t>
            </w:r>
          </w:p>
        </w:tc>
      </w:tr>
      <w:tr w:rsidR="00105105" w:rsidRPr="00105105" w:rsidTr="00105105">
        <w:tc>
          <w:tcPr>
            <w:tcW w:w="3085" w:type="dxa"/>
          </w:tcPr>
          <w:p w:rsidR="00105105" w:rsidRPr="00105105" w:rsidRDefault="00105105" w:rsidP="00360C6E">
            <w:pPr>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Некретнине, постројења и опрема</w:t>
            </w:r>
          </w:p>
        </w:tc>
        <w:tc>
          <w:tcPr>
            <w:tcW w:w="1985" w:type="dxa"/>
          </w:tcPr>
          <w:p w:rsidR="00105105" w:rsidRDefault="00105105" w:rsidP="00CB3C99">
            <w:pPr>
              <w:jc w:val="right"/>
              <w:rPr>
                <w:rFonts w:ascii="Times New Roman" w:hAnsi="Times New Roman" w:cs="Times New Roman"/>
                <w:sz w:val="20"/>
                <w:szCs w:val="20"/>
                <w:lang w:val="sr-Cyrl-RS" w:eastAsia="en-GB"/>
              </w:rPr>
            </w:pPr>
          </w:p>
          <w:p w:rsidR="00E96F74" w:rsidRPr="00105105" w:rsidRDefault="00E96F74"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261.372.654,80</w:t>
            </w:r>
          </w:p>
        </w:tc>
        <w:tc>
          <w:tcPr>
            <w:tcW w:w="1701" w:type="dxa"/>
          </w:tcPr>
          <w:p w:rsidR="00105105" w:rsidRDefault="00105105" w:rsidP="00CB3C99">
            <w:pPr>
              <w:jc w:val="right"/>
              <w:rPr>
                <w:rFonts w:ascii="Times New Roman" w:hAnsi="Times New Roman" w:cs="Times New Roman"/>
                <w:sz w:val="20"/>
                <w:szCs w:val="20"/>
                <w:lang w:val="sr-Cyrl-RS" w:eastAsia="en-GB"/>
              </w:rPr>
            </w:pPr>
          </w:p>
          <w:p w:rsidR="00E96F74" w:rsidRPr="00105105" w:rsidRDefault="00E96F74"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84.518.547,00</w:t>
            </w:r>
          </w:p>
        </w:tc>
        <w:tc>
          <w:tcPr>
            <w:tcW w:w="1559" w:type="dxa"/>
          </w:tcPr>
          <w:p w:rsidR="00105105" w:rsidRDefault="00105105" w:rsidP="00CB3C99">
            <w:pPr>
              <w:jc w:val="right"/>
              <w:rPr>
                <w:rFonts w:ascii="Times New Roman" w:hAnsi="Times New Roman" w:cs="Times New Roman"/>
                <w:sz w:val="20"/>
                <w:szCs w:val="20"/>
                <w:lang w:val="sr-Cyrl-RS" w:eastAsia="en-GB"/>
              </w:rPr>
            </w:pPr>
          </w:p>
          <w:p w:rsidR="00E96F74" w:rsidRPr="00105105" w:rsidRDefault="00093743"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76.390.167,60</w:t>
            </w:r>
          </w:p>
        </w:tc>
        <w:tc>
          <w:tcPr>
            <w:tcW w:w="1417" w:type="dxa"/>
          </w:tcPr>
          <w:p w:rsidR="00105105" w:rsidRDefault="00105105" w:rsidP="00CB3C99">
            <w:pPr>
              <w:jc w:val="right"/>
              <w:rPr>
                <w:rFonts w:ascii="Times New Roman" w:hAnsi="Times New Roman" w:cs="Times New Roman"/>
                <w:sz w:val="20"/>
                <w:szCs w:val="20"/>
                <w:lang w:val="sr-Cyrl-RS" w:eastAsia="en-GB"/>
              </w:rPr>
            </w:pPr>
          </w:p>
          <w:p w:rsidR="00093743" w:rsidRPr="00105105" w:rsidRDefault="004D77DC"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269.501.034,20</w:t>
            </w:r>
          </w:p>
        </w:tc>
      </w:tr>
      <w:tr w:rsidR="00105105" w:rsidRPr="00105105" w:rsidTr="00105105">
        <w:tc>
          <w:tcPr>
            <w:tcW w:w="3085" w:type="dxa"/>
          </w:tcPr>
          <w:p w:rsidR="00105105" w:rsidRPr="00105105" w:rsidRDefault="00105105" w:rsidP="00105105">
            <w:pPr>
              <w:jc w:val="right"/>
              <w:rPr>
                <w:rFonts w:ascii="Times New Roman" w:hAnsi="Times New Roman" w:cs="Times New Roman"/>
                <w:sz w:val="20"/>
                <w:szCs w:val="20"/>
                <w:lang w:val="sr-Cyrl-RS" w:eastAsia="en-GB"/>
              </w:rPr>
            </w:pPr>
            <w:r w:rsidRPr="00105105">
              <w:rPr>
                <w:rFonts w:ascii="Times New Roman" w:hAnsi="Times New Roman" w:cs="Times New Roman"/>
                <w:sz w:val="20"/>
                <w:szCs w:val="20"/>
                <w:lang w:val="sr-Cyrl-RS" w:eastAsia="en-GB"/>
              </w:rPr>
              <w:t>Укупно</w:t>
            </w:r>
          </w:p>
        </w:tc>
        <w:tc>
          <w:tcPr>
            <w:tcW w:w="1985" w:type="dxa"/>
          </w:tcPr>
          <w:p w:rsidR="00105105" w:rsidRPr="00105105" w:rsidRDefault="004B701E"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275.531.337,00</w:t>
            </w:r>
          </w:p>
        </w:tc>
        <w:tc>
          <w:tcPr>
            <w:tcW w:w="1701" w:type="dxa"/>
          </w:tcPr>
          <w:p w:rsidR="00105105" w:rsidRPr="00105105" w:rsidRDefault="00105105" w:rsidP="00CB3C99">
            <w:pPr>
              <w:jc w:val="right"/>
              <w:rPr>
                <w:rFonts w:ascii="Times New Roman" w:hAnsi="Times New Roman" w:cs="Times New Roman"/>
                <w:sz w:val="20"/>
                <w:szCs w:val="20"/>
                <w:lang w:val="sr-Cyrl-RS" w:eastAsia="en-GB"/>
              </w:rPr>
            </w:pPr>
          </w:p>
        </w:tc>
        <w:tc>
          <w:tcPr>
            <w:tcW w:w="1559" w:type="dxa"/>
          </w:tcPr>
          <w:p w:rsidR="00105105" w:rsidRPr="00105105" w:rsidRDefault="00105105" w:rsidP="00CB3C99">
            <w:pPr>
              <w:jc w:val="right"/>
              <w:rPr>
                <w:rFonts w:ascii="Times New Roman" w:hAnsi="Times New Roman" w:cs="Times New Roman"/>
                <w:sz w:val="20"/>
                <w:szCs w:val="20"/>
                <w:lang w:val="sr-Cyrl-RS" w:eastAsia="en-GB"/>
              </w:rPr>
            </w:pPr>
          </w:p>
        </w:tc>
        <w:tc>
          <w:tcPr>
            <w:tcW w:w="1417" w:type="dxa"/>
          </w:tcPr>
          <w:p w:rsidR="00105105" w:rsidRPr="00105105" w:rsidRDefault="004B701E" w:rsidP="00CB3C99">
            <w:pPr>
              <w:jc w:val="right"/>
              <w:rPr>
                <w:rFonts w:ascii="Times New Roman" w:hAnsi="Times New Roman" w:cs="Times New Roman"/>
                <w:sz w:val="20"/>
                <w:szCs w:val="20"/>
                <w:lang w:val="sr-Cyrl-RS" w:eastAsia="en-GB"/>
              </w:rPr>
            </w:pPr>
            <w:r>
              <w:rPr>
                <w:rFonts w:ascii="Times New Roman" w:hAnsi="Times New Roman" w:cs="Times New Roman"/>
                <w:sz w:val="20"/>
                <w:szCs w:val="20"/>
                <w:lang w:val="sr-Cyrl-RS" w:eastAsia="en-GB"/>
              </w:rPr>
              <w:t>285.080.373,03</w:t>
            </w:r>
          </w:p>
        </w:tc>
      </w:tr>
    </w:tbl>
    <w:p w:rsidR="003744E7" w:rsidRPr="00105105" w:rsidRDefault="003744E7" w:rsidP="00360C6E">
      <w:pPr>
        <w:rPr>
          <w:rFonts w:ascii="Times New Roman" w:hAnsi="Times New Roman" w:cs="Times New Roman"/>
          <w:sz w:val="20"/>
          <w:szCs w:val="20"/>
          <w:lang w:val="sr-Cyrl-RS" w:eastAsia="en-GB"/>
        </w:rPr>
      </w:pPr>
    </w:p>
    <w:p w:rsidR="003744E7" w:rsidRDefault="003744E7" w:rsidP="00360C6E">
      <w:pPr>
        <w:rPr>
          <w:lang w:val="sr-Cyrl-RS" w:eastAsia="en-GB"/>
        </w:rPr>
      </w:pPr>
    </w:p>
    <w:p w:rsidR="00F1710F" w:rsidRPr="00753F90" w:rsidRDefault="00360C6E" w:rsidP="00753F90">
      <w:pPr>
        <w:jc w:val="both"/>
        <w:rPr>
          <w:rFonts w:ascii="Times New Roman" w:hAnsi="Times New Roman" w:cs="Times New Roman"/>
          <w:lang w:val="sr-Cyrl-RS" w:eastAsia="en-GB"/>
        </w:rPr>
      </w:pPr>
      <w:r w:rsidRPr="00753F90">
        <w:rPr>
          <w:rFonts w:ascii="Times New Roman" w:hAnsi="Times New Roman" w:cs="Times New Roman"/>
          <w:lang w:val="sr-Cyrl-RS" w:eastAsia="en-GB"/>
        </w:rPr>
        <w:t xml:space="preserve">Након спроведених корекција по основу процене имовине стечајног дужника и наплате потраживања, следи стечајни биланс </w:t>
      </w:r>
      <w:r w:rsidR="00753F90" w:rsidRPr="00753F90">
        <w:rPr>
          <w:rFonts w:ascii="Times New Roman" w:hAnsi="Times New Roman" w:cs="Times New Roman"/>
          <w:lang w:val="sr-Cyrl-RS" w:eastAsia="en-GB"/>
        </w:rPr>
        <w:t xml:space="preserve"> </w:t>
      </w:r>
      <w:r w:rsidRPr="00753F90">
        <w:rPr>
          <w:rFonts w:ascii="Times New Roman" w:hAnsi="Times New Roman" w:cs="Times New Roman"/>
          <w:lang w:val="sr-Cyrl-RS" w:eastAsia="en-GB"/>
        </w:rPr>
        <w:t>на крају периода:</w:t>
      </w:r>
    </w:p>
    <w:p w:rsidR="00AC7803" w:rsidRPr="00360C6E" w:rsidRDefault="00AC7803" w:rsidP="00360C6E">
      <w:pPr>
        <w:rPr>
          <w:lang w:val="sr-Cyrl-RS" w:eastAsia="en-GB"/>
        </w:rPr>
      </w:pPr>
    </w:p>
    <w:p w:rsidR="007F59A8" w:rsidRDefault="007F59A8" w:rsidP="0062106D">
      <w:pPr>
        <w:pStyle w:val="Footer"/>
        <w:tabs>
          <w:tab w:val="clear" w:pos="4153"/>
          <w:tab w:val="clear" w:pos="8306"/>
          <w:tab w:val="left" w:pos="851"/>
        </w:tabs>
        <w:jc w:val="both"/>
        <w:rPr>
          <w:sz w:val="22"/>
          <w:szCs w:val="22"/>
          <w:lang w:val="sr-Cyrl-RS"/>
        </w:rPr>
      </w:pPr>
      <w:r>
        <w:rPr>
          <w:noProof/>
          <w:sz w:val="22"/>
          <w:szCs w:val="22"/>
          <w:lang w:val="sr-Latn-RS" w:eastAsia="sr-Latn-RS"/>
        </w:rPr>
        <w:lastRenderedPageBreak/>
        <w:drawing>
          <wp:anchor distT="0" distB="0" distL="114300" distR="114300" simplePos="0" relativeHeight="251659776" behindDoc="0" locked="0" layoutInCell="1" allowOverlap="1">
            <wp:simplePos x="0" y="0"/>
            <wp:positionH relativeFrom="column">
              <wp:posOffset>-219075</wp:posOffset>
            </wp:positionH>
            <wp:positionV relativeFrom="paragraph">
              <wp:posOffset>-88900</wp:posOffset>
            </wp:positionV>
            <wp:extent cx="6353175" cy="5193030"/>
            <wp:effectExtent l="0" t="0" r="952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175" cy="519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056" w:rsidRDefault="00F12056" w:rsidP="0062106D">
      <w:pPr>
        <w:pStyle w:val="Footer"/>
        <w:tabs>
          <w:tab w:val="clear" w:pos="4153"/>
          <w:tab w:val="clear" w:pos="8306"/>
          <w:tab w:val="left" w:pos="851"/>
        </w:tabs>
        <w:jc w:val="both"/>
        <w:rPr>
          <w:sz w:val="22"/>
          <w:szCs w:val="22"/>
          <w:lang w:val="sr-Cyrl-RS"/>
        </w:rPr>
      </w:pPr>
    </w:p>
    <w:p w:rsidR="004B0CF9" w:rsidRPr="0062106D" w:rsidRDefault="004B0CF9" w:rsidP="007B1928">
      <w:pPr>
        <w:pStyle w:val="Footer"/>
        <w:tabs>
          <w:tab w:val="clear" w:pos="4153"/>
          <w:tab w:val="clear" w:pos="8306"/>
          <w:tab w:val="left" w:pos="851"/>
        </w:tabs>
        <w:jc w:val="both"/>
        <w:rPr>
          <w:sz w:val="22"/>
          <w:szCs w:val="22"/>
          <w:lang w:val="sr-Cyrl-RS"/>
        </w:rPr>
      </w:pPr>
    </w:p>
    <w:p w:rsidR="005C29B5" w:rsidRDefault="005C29B5" w:rsidP="000854FE">
      <w:pPr>
        <w:pStyle w:val="Footer"/>
        <w:tabs>
          <w:tab w:val="clear" w:pos="4153"/>
          <w:tab w:val="clear" w:pos="8306"/>
          <w:tab w:val="left" w:pos="851"/>
        </w:tabs>
        <w:jc w:val="center"/>
        <w:rPr>
          <w:b/>
          <w:lang w:val="sr-Cyrl-CS"/>
        </w:rPr>
      </w:pPr>
    </w:p>
    <w:p w:rsidR="00CE7308" w:rsidRDefault="00CE7308" w:rsidP="00753F90">
      <w:pPr>
        <w:pStyle w:val="Footer"/>
        <w:tabs>
          <w:tab w:val="clear" w:pos="4153"/>
          <w:tab w:val="clear" w:pos="8306"/>
          <w:tab w:val="left" w:pos="851"/>
        </w:tabs>
        <w:jc w:val="both"/>
        <w:rPr>
          <w:lang w:val="sr-Cyrl-CS"/>
        </w:rPr>
      </w:pPr>
    </w:p>
    <w:p w:rsidR="00AC7803" w:rsidRPr="00753F90" w:rsidRDefault="00CB5BE6" w:rsidP="00753F90">
      <w:pPr>
        <w:pStyle w:val="Footer"/>
        <w:tabs>
          <w:tab w:val="clear" w:pos="4153"/>
          <w:tab w:val="clear" w:pos="8306"/>
          <w:tab w:val="left" w:pos="851"/>
        </w:tabs>
        <w:jc w:val="both"/>
        <w:rPr>
          <w:lang w:val="sr-Cyrl-RS"/>
        </w:rPr>
      </w:pPr>
      <w:r>
        <w:rPr>
          <w:lang w:val="sr-Cyrl-CS"/>
        </w:rPr>
        <w:t>На основу свега наведеног, може се закључити да к</w:t>
      </w:r>
      <w:r w:rsidR="00753F90" w:rsidRPr="00753F90">
        <w:rPr>
          <w:lang w:val="sr-Cyrl-CS"/>
        </w:rPr>
        <w:t xml:space="preserve">ада су почетни стечајни биланс и тромесечни </w:t>
      </w:r>
      <w:r w:rsidR="00753F90" w:rsidRPr="00753F90">
        <w:t>извештај</w:t>
      </w:r>
      <w:r w:rsidR="00753F90" w:rsidRPr="00753F90">
        <w:rPr>
          <w:lang w:val="sr-Cyrl-RS"/>
        </w:rPr>
        <w:t>и</w:t>
      </w:r>
      <w:r w:rsidR="00753F90" w:rsidRPr="00753F90">
        <w:t xml:space="preserve"> о току стечајног поступка и стању стечајне масе</w:t>
      </w:r>
      <w:r w:rsidR="00753F90">
        <w:rPr>
          <w:lang w:val="sr-Cyrl-RS"/>
        </w:rPr>
        <w:t xml:space="preserve"> прецизни и свеобухватни, није тешко урадити завршни рачун и завршни извештај стечајног управника.</w:t>
      </w: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AC7803" w:rsidRDefault="00AC7803" w:rsidP="00AF5BAE">
      <w:pPr>
        <w:pStyle w:val="Footer"/>
        <w:tabs>
          <w:tab w:val="clear" w:pos="4153"/>
          <w:tab w:val="clear" w:pos="8306"/>
          <w:tab w:val="left" w:pos="851"/>
        </w:tabs>
        <w:jc w:val="center"/>
        <w:rPr>
          <w:b/>
          <w:lang w:val="sr-Cyrl-CS"/>
        </w:rPr>
      </w:pPr>
    </w:p>
    <w:p w:rsidR="005F6681" w:rsidRPr="000854FE" w:rsidRDefault="005F6681" w:rsidP="00AF5BAE">
      <w:pPr>
        <w:pStyle w:val="Footer"/>
        <w:tabs>
          <w:tab w:val="clear" w:pos="4153"/>
          <w:tab w:val="clear" w:pos="8306"/>
          <w:tab w:val="left" w:pos="851"/>
        </w:tabs>
        <w:jc w:val="center"/>
        <w:rPr>
          <w:b/>
          <w:lang w:val="sr-Cyrl-CS"/>
        </w:rPr>
      </w:pPr>
      <w:r w:rsidRPr="000854FE">
        <w:rPr>
          <w:b/>
          <w:lang w:val="sr-Cyrl-CS"/>
        </w:rPr>
        <w:lastRenderedPageBreak/>
        <w:t>Завршни рачун</w:t>
      </w:r>
      <w:r w:rsidR="003C4515">
        <w:rPr>
          <w:b/>
          <w:lang w:val="sr-Cyrl-CS"/>
        </w:rPr>
        <w:t xml:space="preserve"> и завршни извештај</w:t>
      </w:r>
    </w:p>
    <w:p w:rsidR="000854FE" w:rsidRPr="00AF5BAE" w:rsidRDefault="000854FE" w:rsidP="00AF5BAE">
      <w:pPr>
        <w:pStyle w:val="NormalWeb"/>
        <w:spacing w:before="0" w:beforeAutospacing="0" w:after="0" w:afterAutospacing="0"/>
        <w:jc w:val="center"/>
        <w:rPr>
          <w:lang w:val="sr-Cyrl-RS"/>
        </w:rPr>
      </w:pPr>
      <w:r w:rsidRPr="00AA04AA">
        <w:rPr>
          <w:lang w:val="sr-Cyrl-RS"/>
        </w:rPr>
        <w:t>(члан 27. Закона о стечају</w:t>
      </w:r>
      <w:r w:rsidRPr="00AF5BAE">
        <w:rPr>
          <w:lang w:val="sr-Cyrl-RS"/>
        </w:rPr>
        <w:t xml:space="preserve"> и Национални стандард број</w:t>
      </w:r>
      <w:r w:rsidR="00AF5BAE" w:rsidRPr="00AF5BAE">
        <w:rPr>
          <w:lang w:val="sr-Cyrl-RS"/>
        </w:rPr>
        <w:t xml:space="preserve"> 7</w:t>
      </w:r>
      <w:r w:rsidRPr="00AF5BAE">
        <w:rPr>
          <w:lang w:val="sr-Cyrl-RS"/>
        </w:rPr>
        <w:t>)</w:t>
      </w:r>
    </w:p>
    <w:p w:rsidR="006354F6" w:rsidRPr="006354F6" w:rsidRDefault="006354F6" w:rsidP="000854FE">
      <w:pPr>
        <w:pStyle w:val="Footer"/>
        <w:tabs>
          <w:tab w:val="clear" w:pos="4153"/>
          <w:tab w:val="clear" w:pos="8306"/>
          <w:tab w:val="left" w:pos="851"/>
        </w:tabs>
        <w:jc w:val="center"/>
        <w:rPr>
          <w:sz w:val="22"/>
          <w:szCs w:val="22"/>
          <w:lang w:val="sr-Cyrl-CS"/>
        </w:rPr>
      </w:pPr>
    </w:p>
    <w:p w:rsidR="002E66A6" w:rsidRDefault="002E66A6" w:rsidP="004D1650">
      <w:pPr>
        <w:spacing w:after="0" w:line="240" w:lineRule="auto"/>
        <w:jc w:val="both"/>
        <w:rPr>
          <w:rFonts w:ascii="Times New Roman" w:eastAsia="Times New Roman" w:hAnsi="Times New Roman" w:cs="Times New Roman"/>
          <w:lang w:val="sr-Cyrl-RS" w:eastAsia="sr-Latn-RS"/>
        </w:rPr>
      </w:pPr>
    </w:p>
    <w:p w:rsidR="008E6034" w:rsidRDefault="008E6034" w:rsidP="004D1650">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xml:space="preserve">Поступак стечаја се сматра завршеним након што је уновчена имовина стечајног дужника, покривени трошкови поступка, измирене обавезе стечајне масе и исплаћени повериоци. За разлику од биланса отварања стечаја, чија тачност зависи од потпуног обухватања имовине стечајног дужника и од објективно утврђених ликвидационих вредности те имовине, код завршног рачуна </w:t>
      </w:r>
      <w:r w:rsidR="00770D3B">
        <w:rPr>
          <w:rFonts w:ascii="Times New Roman" w:eastAsia="Times New Roman" w:hAnsi="Times New Roman" w:cs="Times New Roman"/>
          <w:lang w:val="sr-Cyrl-RS" w:eastAsia="sr-Latn-RS"/>
        </w:rPr>
        <w:t xml:space="preserve">испуњење захтева за потпуношћу биланса се остварује потпуним преузимањем у евиденцији имовине и обавеза стечајног </w:t>
      </w:r>
      <w:r w:rsidR="00C04518">
        <w:rPr>
          <w:rFonts w:ascii="Times New Roman" w:eastAsia="Times New Roman" w:hAnsi="Times New Roman" w:cs="Times New Roman"/>
          <w:lang w:val="sr-Cyrl-RS" w:eastAsia="sr-Latn-RS"/>
        </w:rPr>
        <w:t>дужника на дан отварања стечаја</w:t>
      </w:r>
      <w:r w:rsidR="00C04518" w:rsidRPr="00FC3472">
        <w:rPr>
          <w:rFonts w:ascii="Times New Roman" w:eastAsia="Times New Roman" w:hAnsi="Times New Roman" w:cs="Times New Roman"/>
          <w:lang w:val="sr-Cyrl-RS" w:eastAsia="sr-Latn-RS"/>
        </w:rPr>
        <w:t>.</w:t>
      </w:r>
      <w:r w:rsidR="00770D3B" w:rsidRPr="00FC3472">
        <w:rPr>
          <w:rFonts w:ascii="Times New Roman" w:eastAsia="Times New Roman" w:hAnsi="Times New Roman" w:cs="Times New Roman"/>
          <w:lang w:val="sr-Cyrl-RS" w:eastAsia="sr-Latn-RS"/>
        </w:rPr>
        <w:t xml:space="preserve"> </w:t>
      </w:r>
      <w:r w:rsidR="00C04518" w:rsidRPr="00FC3472">
        <w:rPr>
          <w:rFonts w:ascii="Times New Roman" w:eastAsia="Times New Roman" w:hAnsi="Times New Roman" w:cs="Times New Roman"/>
          <w:lang w:val="sr-Cyrl-RS" w:eastAsia="sr-Latn-RS"/>
        </w:rPr>
        <w:t>Уколико су ови услови испуњени</w:t>
      </w:r>
      <w:r w:rsidR="00770D3B" w:rsidRPr="00FC3472">
        <w:rPr>
          <w:rFonts w:ascii="Times New Roman" w:eastAsia="Times New Roman" w:hAnsi="Times New Roman" w:cs="Times New Roman"/>
          <w:lang w:val="sr-Cyrl-RS" w:eastAsia="sr-Latn-RS"/>
        </w:rPr>
        <w:t>, тешкоћа у процењивању позиција нема</w:t>
      </w:r>
      <w:r w:rsidR="00C04518" w:rsidRPr="00FC3472">
        <w:rPr>
          <w:rFonts w:ascii="Times New Roman" w:eastAsia="Times New Roman" w:hAnsi="Times New Roman" w:cs="Times New Roman"/>
          <w:lang w:val="sr-Cyrl-RS" w:eastAsia="sr-Latn-RS"/>
        </w:rPr>
        <w:t>,</w:t>
      </w:r>
      <w:r w:rsidR="00770D3B" w:rsidRPr="00FC3472">
        <w:rPr>
          <w:rFonts w:ascii="Times New Roman" w:eastAsia="Times New Roman" w:hAnsi="Times New Roman" w:cs="Times New Roman"/>
          <w:lang w:val="sr-Cyrl-RS" w:eastAsia="sr-Latn-RS"/>
        </w:rPr>
        <w:t xml:space="preserve"> јер су у овом билансу исказани приливи и одливи готовине.</w:t>
      </w:r>
    </w:p>
    <w:p w:rsidR="001F0979" w:rsidRDefault="001F0979" w:rsidP="004D1650">
      <w:pPr>
        <w:spacing w:after="0" w:line="240" w:lineRule="auto"/>
        <w:jc w:val="both"/>
        <w:rPr>
          <w:rFonts w:ascii="Times New Roman" w:eastAsia="Times New Roman" w:hAnsi="Times New Roman" w:cs="Times New Roman"/>
          <w:lang w:val="sr-Cyrl-RS" w:eastAsia="sr-Latn-RS"/>
        </w:rPr>
      </w:pPr>
    </w:p>
    <w:p w:rsidR="001F0979" w:rsidRPr="004D1650" w:rsidRDefault="001F0979" w:rsidP="001F0979">
      <w:pPr>
        <w:spacing w:after="0" w:line="240" w:lineRule="auto"/>
        <w:jc w:val="both"/>
        <w:rPr>
          <w:rFonts w:ascii="Times New Roman" w:eastAsia="Times New Roman" w:hAnsi="Times New Roman" w:cs="Times New Roman"/>
          <w:lang w:eastAsia="sr-Latn-RS"/>
        </w:rPr>
      </w:pPr>
      <w:r w:rsidRPr="004D1650">
        <w:rPr>
          <w:rFonts w:ascii="Times New Roman" w:eastAsia="Times New Roman" w:hAnsi="Times New Roman" w:cs="Times New Roman"/>
          <w:lang w:eastAsia="sr-Latn-RS"/>
        </w:rPr>
        <w:t>Састављањем  и  презентацијом  завршног  рачуна,</w:t>
      </w:r>
      <w:r>
        <w:rPr>
          <w:rFonts w:ascii="Times New Roman" w:eastAsia="Times New Roman" w:hAnsi="Times New Roman" w:cs="Times New Roman"/>
          <w:lang w:val="sr-Cyrl-RS" w:eastAsia="sr-Latn-RS"/>
        </w:rPr>
        <w:t xml:space="preserve"> </w:t>
      </w:r>
      <w:r w:rsidRPr="004D1650">
        <w:rPr>
          <w:rFonts w:ascii="Times New Roman" w:eastAsia="Times New Roman" w:hAnsi="Times New Roman" w:cs="Times New Roman"/>
          <w:lang w:eastAsia="sr-Latn-RS"/>
        </w:rPr>
        <w:t>стечајни управник полаже рачун о:</w:t>
      </w:r>
    </w:p>
    <w:p w:rsidR="001F0979" w:rsidRPr="004D1650" w:rsidRDefault="001F0979" w:rsidP="001F0979">
      <w:pPr>
        <w:pStyle w:val="ListParagraph"/>
        <w:numPr>
          <w:ilvl w:val="0"/>
          <w:numId w:val="14"/>
        </w:numPr>
        <w:spacing w:after="0" w:line="240" w:lineRule="auto"/>
        <w:jc w:val="both"/>
        <w:rPr>
          <w:rFonts w:ascii="Times New Roman" w:eastAsia="Times New Roman" w:hAnsi="Times New Roman" w:cs="Times New Roman"/>
          <w:lang w:eastAsia="sr-Latn-RS"/>
        </w:rPr>
      </w:pPr>
      <w:r w:rsidRPr="004D1650">
        <w:rPr>
          <w:rFonts w:ascii="Times New Roman" w:eastAsia="Times New Roman" w:hAnsi="Times New Roman" w:cs="Times New Roman"/>
          <w:lang w:eastAsia="sr-Latn-RS"/>
        </w:rPr>
        <w:t>уновчењу имовине стечајног дужника</w:t>
      </w:r>
      <w:r w:rsidR="0011724A">
        <w:rPr>
          <w:rFonts w:ascii="Times New Roman" w:eastAsia="Times New Roman" w:hAnsi="Times New Roman" w:cs="Times New Roman"/>
          <w:lang w:val="sr-Cyrl-RS" w:eastAsia="sr-Latn-RS"/>
        </w:rPr>
        <w:t>;</w:t>
      </w:r>
    </w:p>
    <w:p w:rsidR="001F0979" w:rsidRDefault="001F0979" w:rsidP="001F0979">
      <w:pPr>
        <w:pStyle w:val="ListParagraph"/>
        <w:numPr>
          <w:ilvl w:val="0"/>
          <w:numId w:val="14"/>
        </w:numPr>
        <w:spacing w:after="0" w:line="240" w:lineRule="auto"/>
        <w:jc w:val="both"/>
        <w:rPr>
          <w:rFonts w:ascii="Times New Roman" w:eastAsia="Times New Roman" w:hAnsi="Times New Roman" w:cs="Times New Roman"/>
          <w:lang w:eastAsia="sr-Latn-RS"/>
        </w:rPr>
      </w:pPr>
      <w:r w:rsidRPr="001F0979">
        <w:rPr>
          <w:rFonts w:ascii="Times New Roman" w:eastAsia="Times New Roman" w:hAnsi="Times New Roman" w:cs="Times New Roman"/>
          <w:lang w:eastAsia="sr-Latn-RS"/>
        </w:rPr>
        <w:t>исплати </w:t>
      </w:r>
      <w:r w:rsidRPr="001F0979">
        <w:rPr>
          <w:rFonts w:ascii="Times New Roman" w:eastAsia="Times New Roman" w:hAnsi="Times New Roman" w:cs="Times New Roman"/>
          <w:lang w:val="sr-Cyrl-RS" w:eastAsia="sr-Latn-RS"/>
        </w:rPr>
        <w:t>трошкова</w:t>
      </w:r>
      <w:r w:rsidRPr="001F0979">
        <w:rPr>
          <w:rFonts w:ascii="Times New Roman" w:eastAsia="Times New Roman" w:hAnsi="Times New Roman" w:cs="Times New Roman"/>
          <w:lang w:eastAsia="sr-Latn-RS"/>
        </w:rPr>
        <w:t> стечајног поступка и обавеза стечајне масе и исплати обавеза према </w:t>
      </w:r>
    </w:p>
    <w:p w:rsidR="001F0979" w:rsidRPr="0011724A" w:rsidRDefault="001F0979" w:rsidP="001F0979">
      <w:pPr>
        <w:pStyle w:val="ListParagraph"/>
        <w:spacing w:after="0" w:line="240" w:lineRule="auto"/>
        <w:jc w:val="both"/>
        <w:rPr>
          <w:rFonts w:ascii="Times New Roman" w:eastAsia="Times New Roman" w:hAnsi="Times New Roman" w:cs="Times New Roman"/>
          <w:lang w:val="sr-Cyrl-RS" w:eastAsia="sr-Latn-RS"/>
        </w:rPr>
      </w:pPr>
      <w:r w:rsidRPr="001F0979">
        <w:rPr>
          <w:rFonts w:ascii="Times New Roman" w:eastAsia="Times New Roman" w:hAnsi="Times New Roman" w:cs="Times New Roman"/>
          <w:lang w:eastAsia="sr-Latn-RS"/>
        </w:rPr>
        <w:t>повериоцима</w:t>
      </w:r>
      <w:r w:rsidR="0011724A">
        <w:rPr>
          <w:rFonts w:ascii="Times New Roman" w:eastAsia="Times New Roman" w:hAnsi="Times New Roman" w:cs="Times New Roman"/>
          <w:lang w:val="sr-Cyrl-RS" w:eastAsia="sr-Latn-RS"/>
        </w:rPr>
        <w:t>.</w:t>
      </w:r>
    </w:p>
    <w:p w:rsidR="00762A96" w:rsidRDefault="00762A96" w:rsidP="004D1650">
      <w:pPr>
        <w:spacing w:after="0" w:line="240" w:lineRule="auto"/>
        <w:jc w:val="both"/>
        <w:rPr>
          <w:rFonts w:ascii="Times New Roman" w:eastAsia="Times New Roman" w:hAnsi="Times New Roman" w:cs="Times New Roman"/>
          <w:lang w:val="sr-Cyrl-RS" w:eastAsia="sr-Latn-RS"/>
        </w:rPr>
      </w:pPr>
    </w:p>
    <w:p w:rsidR="001F0979" w:rsidRDefault="006B4CD7" w:rsidP="004D1650">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У оквиру завршног рачуна потребно је исказати остварене приливе готовине и то како оне који су последица уновчења појединих имовинских предмета, тако и приливе готовине настале по основу прихода остварених током поступка стечаја, као што су примера ради, приходи од закупнине или приходи од камата.</w:t>
      </w:r>
    </w:p>
    <w:p w:rsidR="006B4CD7" w:rsidRDefault="006B4CD7" w:rsidP="004D1650">
      <w:pPr>
        <w:spacing w:after="0" w:line="240" w:lineRule="auto"/>
        <w:jc w:val="both"/>
        <w:rPr>
          <w:rFonts w:ascii="Times New Roman" w:eastAsia="Times New Roman" w:hAnsi="Times New Roman" w:cs="Times New Roman"/>
          <w:lang w:val="sr-Cyrl-RS" w:eastAsia="sr-Latn-RS"/>
        </w:rPr>
      </w:pPr>
    </w:p>
    <w:p w:rsidR="006B4CD7" w:rsidRDefault="006B4CD7" w:rsidP="006B4CD7">
      <w:pPr>
        <w:spacing w:after="0" w:line="240" w:lineRule="auto"/>
        <w:jc w:val="both"/>
        <w:rPr>
          <w:rFonts w:ascii="Times New Roman" w:eastAsia="Times New Roman" w:hAnsi="Times New Roman" w:cs="Times New Roman"/>
          <w:lang w:val="sr-Cyrl-RS" w:eastAsia="sr-Latn-RS"/>
        </w:rPr>
      </w:pPr>
      <w:r w:rsidRPr="004D1650">
        <w:rPr>
          <w:rFonts w:ascii="Times New Roman" w:eastAsia="Times New Roman" w:hAnsi="Times New Roman" w:cs="Times New Roman"/>
          <w:lang w:eastAsia="sr-Latn-RS"/>
        </w:rPr>
        <w:t>Одливи готовине за потребе израде завршног рачуна треба да буду </w:t>
      </w:r>
      <w:r>
        <w:rPr>
          <w:rFonts w:ascii="Times New Roman" w:eastAsia="Times New Roman" w:hAnsi="Times New Roman" w:cs="Times New Roman"/>
          <w:lang w:eastAsia="sr-Latn-RS"/>
        </w:rPr>
        <w:t>класификовани према основам</w:t>
      </w:r>
      <w:r>
        <w:rPr>
          <w:rFonts w:ascii="Times New Roman" w:eastAsia="Times New Roman" w:hAnsi="Times New Roman" w:cs="Times New Roman"/>
          <w:lang w:val="sr-Cyrl-RS" w:eastAsia="sr-Latn-RS"/>
        </w:rPr>
        <w:t>а</w:t>
      </w:r>
      <w:r w:rsidRPr="004D1650">
        <w:rPr>
          <w:rFonts w:ascii="Times New Roman" w:eastAsia="Times New Roman" w:hAnsi="Times New Roman" w:cs="Times New Roman"/>
          <w:lang w:eastAsia="sr-Latn-RS"/>
        </w:rPr>
        <w:t>обавеза ради чијег измирења су настали на:</w:t>
      </w:r>
    </w:p>
    <w:p w:rsidR="006B4CD7" w:rsidRPr="00057212" w:rsidRDefault="006B4CD7" w:rsidP="006B4CD7">
      <w:pPr>
        <w:spacing w:after="0" w:line="240" w:lineRule="auto"/>
        <w:jc w:val="both"/>
        <w:rPr>
          <w:rFonts w:ascii="Times New Roman" w:eastAsia="Times New Roman" w:hAnsi="Times New Roman" w:cs="Times New Roman"/>
          <w:lang w:val="sr-Cyrl-RS" w:eastAsia="sr-Latn-RS"/>
        </w:rPr>
      </w:pPr>
    </w:p>
    <w:p w:rsidR="006B4CD7" w:rsidRPr="004D1650" w:rsidRDefault="006B4CD7" w:rsidP="006B4CD7">
      <w:pPr>
        <w:spacing w:after="0" w:line="240" w:lineRule="auto"/>
        <w:jc w:val="both"/>
        <w:rPr>
          <w:rFonts w:ascii="Times New Roman" w:eastAsia="Times New Roman" w:hAnsi="Times New Roman" w:cs="Times New Roman"/>
          <w:lang w:val="sr-Cyrl-RS" w:eastAsia="sr-Latn-RS"/>
        </w:rPr>
      </w:pPr>
      <w:r w:rsidRPr="004D1650">
        <w:rPr>
          <w:rFonts w:ascii="Times New Roman" w:eastAsia="Times New Roman" w:hAnsi="Times New Roman" w:cs="Times New Roman"/>
          <w:lang w:eastAsia="sr-Latn-RS"/>
        </w:rPr>
        <w:t>−одливе по основу измирења обавеза за трошкове стечајног поступка</w:t>
      </w:r>
      <w:r w:rsidRPr="004D1650">
        <w:rPr>
          <w:rFonts w:ascii="Times New Roman" w:eastAsia="Times New Roman" w:hAnsi="Times New Roman" w:cs="Times New Roman"/>
          <w:lang w:val="sr-Cyrl-RS" w:eastAsia="sr-Latn-RS"/>
        </w:rPr>
        <w:t>,</w:t>
      </w:r>
    </w:p>
    <w:p w:rsidR="006B4CD7" w:rsidRPr="004D1650" w:rsidRDefault="006B4CD7" w:rsidP="006B4CD7">
      <w:pPr>
        <w:spacing w:after="0" w:line="240" w:lineRule="auto"/>
        <w:jc w:val="both"/>
        <w:rPr>
          <w:rFonts w:ascii="Times New Roman" w:eastAsia="Times New Roman" w:hAnsi="Times New Roman" w:cs="Times New Roman"/>
          <w:lang w:val="sr-Cyrl-RS" w:eastAsia="sr-Latn-RS"/>
        </w:rPr>
      </w:pPr>
      <w:r w:rsidRPr="004D1650">
        <w:rPr>
          <w:rFonts w:ascii="Times New Roman" w:eastAsia="Times New Roman" w:hAnsi="Times New Roman" w:cs="Times New Roman"/>
          <w:lang w:eastAsia="sr-Latn-RS"/>
        </w:rPr>
        <w:t>−</w:t>
      </w:r>
      <w:r w:rsidRPr="00FA4285">
        <w:rPr>
          <w:rFonts w:ascii="Times New Roman" w:hAnsi="Times New Roman" w:cs="Times New Roman"/>
        </w:rPr>
        <w:t>одливе по основу обавеза стечајне масе</w:t>
      </w:r>
      <w:r>
        <w:rPr>
          <w:rFonts w:ascii="Times New Roman" w:eastAsia="Times New Roman" w:hAnsi="Times New Roman" w:cs="Times New Roman"/>
          <w:lang w:val="sr-Cyrl-RS" w:eastAsia="sr-Latn-RS"/>
        </w:rPr>
        <w:t>,</w:t>
      </w:r>
    </w:p>
    <w:p w:rsidR="006B4CD7" w:rsidRPr="004D1650" w:rsidRDefault="006B4CD7" w:rsidP="006B4CD7">
      <w:pPr>
        <w:spacing w:after="0" w:line="240" w:lineRule="auto"/>
        <w:jc w:val="both"/>
        <w:rPr>
          <w:rFonts w:ascii="Times New Roman" w:eastAsia="Times New Roman" w:hAnsi="Times New Roman" w:cs="Times New Roman"/>
          <w:lang w:val="sr-Cyrl-RS" w:eastAsia="sr-Latn-RS"/>
        </w:rPr>
      </w:pPr>
      <w:r w:rsidRPr="004D1650">
        <w:rPr>
          <w:rFonts w:ascii="Times New Roman" w:eastAsia="Times New Roman" w:hAnsi="Times New Roman" w:cs="Times New Roman"/>
          <w:lang w:eastAsia="sr-Latn-RS"/>
        </w:rPr>
        <w:t>−одливе по основу измирења обавеза према повериоцима</w:t>
      </w:r>
      <w:r>
        <w:rPr>
          <w:rFonts w:ascii="Times New Roman" w:eastAsia="Times New Roman" w:hAnsi="Times New Roman" w:cs="Times New Roman"/>
          <w:lang w:val="sr-Cyrl-RS" w:eastAsia="sr-Latn-RS"/>
        </w:rPr>
        <w:t>.</w:t>
      </w:r>
    </w:p>
    <w:p w:rsidR="006B4CD7" w:rsidRDefault="006B4CD7" w:rsidP="004D1650">
      <w:pPr>
        <w:spacing w:after="0" w:line="240" w:lineRule="auto"/>
        <w:jc w:val="both"/>
        <w:rPr>
          <w:rFonts w:ascii="Times New Roman" w:eastAsia="Times New Roman" w:hAnsi="Times New Roman" w:cs="Times New Roman"/>
          <w:lang w:val="sr-Cyrl-RS" w:eastAsia="sr-Latn-RS"/>
        </w:rPr>
      </w:pPr>
    </w:p>
    <w:p w:rsidR="00347635" w:rsidRDefault="00347635" w:rsidP="004D1650">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Обавезе према повериоцима у завршном рачуну треба да буду рашчл</w:t>
      </w:r>
      <w:r w:rsidR="00D1611A">
        <w:rPr>
          <w:rFonts w:ascii="Times New Roman" w:eastAsia="Times New Roman" w:hAnsi="Times New Roman" w:cs="Times New Roman"/>
          <w:lang w:val="sr-Cyrl-RS" w:eastAsia="sr-Latn-RS"/>
        </w:rPr>
        <w:t>ањене по врсти обавеза (разлучни</w:t>
      </w:r>
      <w:r>
        <w:rPr>
          <w:rFonts w:ascii="Times New Roman" w:eastAsia="Times New Roman" w:hAnsi="Times New Roman" w:cs="Times New Roman"/>
          <w:lang w:val="sr-Cyrl-RS" w:eastAsia="sr-Latn-RS"/>
        </w:rPr>
        <w:t xml:space="preserve"> и стечајни повериоци), </w:t>
      </w:r>
      <w:r w:rsidR="00762A96">
        <w:rPr>
          <w:rFonts w:ascii="Times New Roman" w:eastAsia="Times New Roman" w:hAnsi="Times New Roman" w:cs="Times New Roman"/>
          <w:lang w:val="sr-Cyrl-RS" w:eastAsia="sr-Latn-RS"/>
        </w:rPr>
        <w:t xml:space="preserve">а </w:t>
      </w:r>
      <w:r>
        <w:rPr>
          <w:rFonts w:ascii="Times New Roman" w:eastAsia="Times New Roman" w:hAnsi="Times New Roman" w:cs="Times New Roman"/>
          <w:lang w:val="sr-Cyrl-RS" w:eastAsia="sr-Latn-RS"/>
        </w:rPr>
        <w:t>стечајни повериоци и према исплатном реду. О свакој од обавеза треба пружити податке о висини утврђене об</w:t>
      </w:r>
      <w:r w:rsidR="00F261BE">
        <w:rPr>
          <w:rFonts w:ascii="Times New Roman" w:eastAsia="Times New Roman" w:hAnsi="Times New Roman" w:cs="Times New Roman"/>
          <w:lang w:val="sr-Cyrl-RS" w:eastAsia="sr-Latn-RS"/>
        </w:rPr>
        <w:t>авезе, исплаћеном износу и проценту</w:t>
      </w:r>
      <w:r>
        <w:rPr>
          <w:rFonts w:ascii="Times New Roman" w:eastAsia="Times New Roman" w:hAnsi="Times New Roman" w:cs="Times New Roman"/>
          <w:lang w:val="sr-Cyrl-RS" w:eastAsia="sr-Latn-RS"/>
        </w:rPr>
        <w:t xml:space="preserve"> намирења. За разлику од </w:t>
      </w:r>
      <w:r w:rsidR="00F261BE">
        <w:rPr>
          <w:rFonts w:ascii="Times New Roman" w:eastAsia="Times New Roman" w:hAnsi="Times New Roman" w:cs="Times New Roman"/>
          <w:lang w:val="sr-Cyrl-RS" w:eastAsia="sr-Latn-RS"/>
        </w:rPr>
        <w:t>процента</w:t>
      </w:r>
      <w:r>
        <w:rPr>
          <w:rFonts w:ascii="Times New Roman" w:eastAsia="Times New Roman" w:hAnsi="Times New Roman" w:cs="Times New Roman"/>
          <w:lang w:val="sr-Cyrl-RS" w:eastAsia="sr-Latn-RS"/>
        </w:rPr>
        <w:t xml:space="preserve"> на</w:t>
      </w:r>
      <w:r w:rsidR="00F261BE">
        <w:rPr>
          <w:rFonts w:ascii="Times New Roman" w:eastAsia="Times New Roman" w:hAnsi="Times New Roman" w:cs="Times New Roman"/>
          <w:lang w:val="sr-Cyrl-RS" w:eastAsia="sr-Latn-RS"/>
        </w:rPr>
        <w:t>мирења стечајних поверилаца који</w:t>
      </w:r>
      <w:r>
        <w:rPr>
          <w:rFonts w:ascii="Times New Roman" w:eastAsia="Times New Roman" w:hAnsi="Times New Roman" w:cs="Times New Roman"/>
          <w:lang w:val="sr-Cyrl-RS" w:eastAsia="sr-Latn-RS"/>
        </w:rPr>
        <w:t xml:space="preserve"> се утврђује на основу почетног стечајног биланса, ова</w:t>
      </w:r>
      <w:r w:rsidR="00F261BE">
        <w:rPr>
          <w:rFonts w:ascii="Times New Roman" w:eastAsia="Times New Roman" w:hAnsi="Times New Roman" w:cs="Times New Roman"/>
          <w:lang w:val="sr-Cyrl-RS" w:eastAsia="sr-Latn-RS"/>
        </w:rPr>
        <w:t>ј процента намирења је коначан</w:t>
      </w:r>
      <w:r>
        <w:rPr>
          <w:rFonts w:ascii="Times New Roman" w:eastAsia="Times New Roman" w:hAnsi="Times New Roman" w:cs="Times New Roman"/>
          <w:lang w:val="sr-Cyrl-RS" w:eastAsia="sr-Latn-RS"/>
        </w:rPr>
        <w:t xml:space="preserve"> и показује степен исплате обавеза према повериоцима.</w:t>
      </w:r>
    </w:p>
    <w:p w:rsidR="00347635" w:rsidRDefault="00347635" w:rsidP="004D1650">
      <w:pPr>
        <w:spacing w:after="0" w:line="240" w:lineRule="auto"/>
        <w:jc w:val="both"/>
        <w:rPr>
          <w:rFonts w:ascii="Times New Roman" w:eastAsia="Times New Roman" w:hAnsi="Times New Roman" w:cs="Times New Roman"/>
          <w:lang w:val="sr-Cyrl-RS" w:eastAsia="sr-Latn-RS"/>
        </w:rPr>
      </w:pPr>
    </w:p>
    <w:p w:rsidR="00347635" w:rsidRPr="008E6034" w:rsidRDefault="00347635" w:rsidP="004D1650">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 xml:space="preserve">Како се завршни рачун саставља </w:t>
      </w:r>
      <w:r w:rsidR="00762A96">
        <w:rPr>
          <w:rFonts w:ascii="Times New Roman" w:eastAsia="Times New Roman" w:hAnsi="Times New Roman" w:cs="Times New Roman"/>
          <w:lang w:val="sr-Cyrl-RS" w:eastAsia="sr-Latn-RS"/>
        </w:rPr>
        <w:t xml:space="preserve">за потребе одржавања завршног рочишта </w:t>
      </w:r>
      <w:r>
        <w:rPr>
          <w:rFonts w:ascii="Times New Roman" w:eastAsia="Times New Roman" w:hAnsi="Times New Roman" w:cs="Times New Roman"/>
          <w:lang w:val="sr-Cyrl-RS" w:eastAsia="sr-Latn-RS"/>
        </w:rPr>
        <w:t xml:space="preserve">пре него што је поступак стечаја и формално завршен, </w:t>
      </w:r>
      <w:r w:rsidR="00645ACD">
        <w:rPr>
          <w:rFonts w:ascii="Times New Roman" w:eastAsia="Times New Roman" w:hAnsi="Times New Roman" w:cs="Times New Roman"/>
          <w:lang w:val="sr-Cyrl-RS" w:eastAsia="sr-Latn-RS"/>
        </w:rPr>
        <w:t>у њему се могу јавити резервисања за трошкове стечајног поступка и за обавезе стечајне масе</w:t>
      </w:r>
      <w:r w:rsidR="00762A96">
        <w:rPr>
          <w:rFonts w:ascii="Times New Roman" w:eastAsia="Times New Roman" w:hAnsi="Times New Roman" w:cs="Times New Roman"/>
          <w:lang w:val="sr-Cyrl-RS" w:eastAsia="sr-Latn-RS"/>
        </w:rPr>
        <w:t>,</w:t>
      </w:r>
      <w:r w:rsidR="00645ACD">
        <w:rPr>
          <w:rFonts w:ascii="Times New Roman" w:eastAsia="Times New Roman" w:hAnsi="Times New Roman" w:cs="Times New Roman"/>
          <w:lang w:val="sr-Cyrl-RS" w:eastAsia="sr-Latn-RS"/>
        </w:rPr>
        <w:t xml:space="preserve"> ако се до окончања поступка или након њега очекује њихов настанак. Присутно је мишљење економских стручњака да</w:t>
      </w:r>
      <w:r w:rsidR="00330757">
        <w:rPr>
          <w:rFonts w:ascii="Times New Roman" w:eastAsia="Times New Roman" w:hAnsi="Times New Roman" w:cs="Times New Roman"/>
          <w:lang w:val="sr-Cyrl-RS" w:eastAsia="sr-Latn-RS"/>
        </w:rPr>
        <w:t>,</w:t>
      </w:r>
      <w:r w:rsidR="00645ACD">
        <w:rPr>
          <w:rFonts w:ascii="Times New Roman" w:eastAsia="Times New Roman" w:hAnsi="Times New Roman" w:cs="Times New Roman"/>
          <w:lang w:val="sr-Cyrl-RS" w:eastAsia="sr-Latn-RS"/>
        </w:rPr>
        <w:t xml:space="preserve"> у Закону о стечају и Националним стандардима за управљање стечајном масом</w:t>
      </w:r>
      <w:r w:rsidR="00330757">
        <w:rPr>
          <w:rFonts w:ascii="Times New Roman" w:eastAsia="Times New Roman" w:hAnsi="Times New Roman" w:cs="Times New Roman"/>
          <w:lang w:val="sr-Cyrl-RS" w:eastAsia="sr-Latn-RS"/>
        </w:rPr>
        <w:t>,</w:t>
      </w:r>
      <w:r w:rsidR="00645ACD">
        <w:rPr>
          <w:rFonts w:ascii="Times New Roman" w:eastAsia="Times New Roman" w:hAnsi="Times New Roman" w:cs="Times New Roman"/>
          <w:lang w:val="sr-Cyrl-RS" w:eastAsia="sr-Latn-RS"/>
        </w:rPr>
        <w:t xml:space="preserve"> завршном рачуну у стечају није посвећена довољна пажња. Законске одредбе се задржавају на прописивању обавезе за састављање</w:t>
      </w:r>
      <w:r w:rsidR="00E73CE7">
        <w:rPr>
          <w:rFonts w:ascii="Times New Roman" w:eastAsia="Times New Roman" w:hAnsi="Times New Roman" w:cs="Times New Roman"/>
          <w:lang w:val="sr-Cyrl-RS" w:eastAsia="sr-Latn-RS"/>
        </w:rPr>
        <w:t xml:space="preserve"> завршног рачуна, </w:t>
      </w:r>
      <w:r w:rsidR="00645ACD">
        <w:rPr>
          <w:rFonts w:ascii="Times New Roman" w:eastAsia="Times New Roman" w:hAnsi="Times New Roman" w:cs="Times New Roman"/>
          <w:lang w:val="sr-Cyrl-RS" w:eastAsia="sr-Latn-RS"/>
        </w:rPr>
        <w:t>не баве се питањем форме и садржине овог извештаја, а степен рашчлањавања појединих позиција је скроман. Потребне додатне информације о њима, стечајни управник треба да пружи у завршном извештају који прати овај завршни рачун. Тако би, примера ради, било важно пружити информације о томе шта чини трошкове стечајног поступка, или информације о томе колики су приливи готовине остварени уновчењем појединих група имовине стечајног дужника (приливи по основу уновчења</w:t>
      </w:r>
      <w:r w:rsidR="00E6309C">
        <w:rPr>
          <w:rFonts w:ascii="Times New Roman" w:eastAsia="Times New Roman" w:hAnsi="Times New Roman" w:cs="Times New Roman"/>
          <w:lang w:val="sr-Cyrl-RS" w:eastAsia="sr-Latn-RS"/>
        </w:rPr>
        <w:t xml:space="preserve"> непокретне имовине, опреме, финансијских средстава и слично).</w:t>
      </w:r>
    </w:p>
    <w:p w:rsidR="008E6034" w:rsidRDefault="008E6034" w:rsidP="004D1650">
      <w:pPr>
        <w:spacing w:after="0" w:line="240" w:lineRule="auto"/>
        <w:jc w:val="both"/>
        <w:rPr>
          <w:rFonts w:ascii="Times New Roman" w:eastAsia="Times New Roman" w:hAnsi="Times New Roman" w:cs="Times New Roman"/>
          <w:lang w:eastAsia="sr-Latn-RS"/>
        </w:rPr>
      </w:pPr>
    </w:p>
    <w:p w:rsidR="005D10F3" w:rsidRPr="005D10F3" w:rsidRDefault="00C65C5A" w:rsidP="005D10F3">
      <w:pPr>
        <w:spacing w:after="0" w:line="240" w:lineRule="auto"/>
        <w:jc w:val="both"/>
        <w:rPr>
          <w:rFonts w:ascii="Times New Roman" w:hAnsi="Times New Roman" w:cs="Times New Roman"/>
          <w:lang w:val="sr-Cyrl-CS"/>
        </w:rPr>
      </w:pPr>
      <w:r w:rsidRPr="005D10F3">
        <w:rPr>
          <w:rFonts w:ascii="Times New Roman" w:hAnsi="Times New Roman" w:cs="Times New Roman"/>
          <w:lang w:val="sr-Cyrl-RS"/>
        </w:rPr>
        <w:lastRenderedPageBreak/>
        <w:t xml:space="preserve">У </w:t>
      </w:r>
      <w:r w:rsidRPr="00310909">
        <w:rPr>
          <w:rFonts w:ascii="Times New Roman" w:hAnsi="Times New Roman" w:cs="Times New Roman"/>
          <w:b/>
          <w:lang w:val="sr-Cyrl-RS"/>
        </w:rPr>
        <w:t>примеру</w:t>
      </w:r>
      <w:r w:rsidRPr="005D10F3">
        <w:rPr>
          <w:rFonts w:ascii="Times New Roman" w:hAnsi="Times New Roman" w:cs="Times New Roman"/>
          <w:lang w:val="sr-Cyrl-RS"/>
        </w:rPr>
        <w:t xml:space="preserve"> који следи (стечајни управник АЛСУ-Центар за стечај),</w:t>
      </w:r>
      <w:r w:rsidR="00EA7C67" w:rsidRPr="00EA7C67">
        <w:rPr>
          <w:rFonts w:ascii="Times New Roman" w:hAnsi="Times New Roman" w:cs="Times New Roman"/>
          <w:lang w:val="sr-Cyrl-CS"/>
        </w:rPr>
        <w:t xml:space="preserve"> </w:t>
      </w:r>
      <w:r w:rsidR="00EA7C67">
        <w:rPr>
          <w:rFonts w:ascii="Times New Roman" w:hAnsi="Times New Roman" w:cs="Times New Roman"/>
          <w:lang w:val="sr-Cyrl-RS"/>
        </w:rPr>
        <w:t>п</w:t>
      </w:r>
      <w:r w:rsidR="00EA7C67" w:rsidRPr="005D10F3">
        <w:rPr>
          <w:rFonts w:ascii="Times New Roman" w:hAnsi="Times New Roman" w:cs="Times New Roman"/>
          <w:lang w:val="sr-Cyrl-CS"/>
        </w:rPr>
        <w:t>о правоснажности решења  за главну део</w:t>
      </w:r>
      <w:r w:rsidR="00EA7C67">
        <w:rPr>
          <w:rFonts w:ascii="Times New Roman" w:hAnsi="Times New Roman" w:cs="Times New Roman"/>
          <w:lang w:val="sr-Cyrl-CS"/>
        </w:rPr>
        <w:t xml:space="preserve">бу </w:t>
      </w:r>
      <w:r w:rsidR="00EF0C47">
        <w:rPr>
          <w:rFonts w:ascii="Times New Roman" w:hAnsi="Times New Roman" w:cs="Times New Roman"/>
          <w:lang w:val="sr-Cyrl-RS"/>
        </w:rPr>
        <w:t xml:space="preserve">делимично су </w:t>
      </w:r>
      <w:r w:rsidR="00EF0C47">
        <w:rPr>
          <w:rFonts w:ascii="Times New Roman" w:hAnsi="Times New Roman" w:cs="Times New Roman"/>
          <w:lang w:val="sr-Cyrl-CS"/>
        </w:rPr>
        <w:t xml:space="preserve">исплаћени </w:t>
      </w:r>
      <w:r w:rsidR="00EA7C67">
        <w:rPr>
          <w:rFonts w:ascii="Times New Roman" w:hAnsi="Times New Roman" w:cs="Times New Roman"/>
          <w:lang w:val="sr-Cyrl-CS"/>
        </w:rPr>
        <w:t>повериоци првог</w:t>
      </w:r>
      <w:r w:rsidR="00EA7C67" w:rsidRPr="005D10F3">
        <w:rPr>
          <w:rFonts w:ascii="Times New Roman" w:hAnsi="Times New Roman" w:cs="Times New Roman"/>
          <w:lang w:val="sr-Cyrl-CS"/>
        </w:rPr>
        <w:t xml:space="preserve"> исплатног реда</w:t>
      </w:r>
      <w:r w:rsidR="00EA7C67">
        <w:rPr>
          <w:rFonts w:ascii="Times New Roman" w:hAnsi="Times New Roman" w:cs="Times New Roman"/>
          <w:lang w:val="sr-Cyrl-RS"/>
        </w:rPr>
        <w:t xml:space="preserve">, </w:t>
      </w:r>
      <w:r w:rsidRPr="005D10F3">
        <w:rPr>
          <w:rFonts w:ascii="Times New Roman" w:hAnsi="Times New Roman" w:cs="Times New Roman"/>
          <w:lang w:val="sr-Cyrl-RS"/>
        </w:rPr>
        <w:t xml:space="preserve"> није уновчена целокупна имовина стечајног дужника</w:t>
      </w:r>
      <w:r w:rsidR="00E351B8" w:rsidRPr="005D10F3">
        <w:rPr>
          <w:rFonts w:ascii="Times New Roman" w:hAnsi="Times New Roman" w:cs="Times New Roman"/>
          <w:lang w:val="sr-Cyrl-RS"/>
        </w:rPr>
        <w:t xml:space="preserve">, </w:t>
      </w:r>
      <w:r w:rsidRPr="005D10F3">
        <w:rPr>
          <w:rFonts w:ascii="Times New Roman" w:hAnsi="Times New Roman" w:cs="Times New Roman"/>
          <w:lang w:val="sr-Cyrl-RS"/>
        </w:rPr>
        <w:t>даље трајање стечајног поступка би довело само до увећања тро</w:t>
      </w:r>
      <w:r w:rsidR="00E351B8" w:rsidRPr="005D10F3">
        <w:rPr>
          <w:rFonts w:ascii="Times New Roman" w:hAnsi="Times New Roman" w:cs="Times New Roman"/>
          <w:lang w:val="sr-Cyrl-RS"/>
        </w:rPr>
        <w:t xml:space="preserve">шкова, те је </w:t>
      </w:r>
      <w:r w:rsidR="00E9612A" w:rsidRPr="005D10F3">
        <w:rPr>
          <w:rFonts w:ascii="Times New Roman" w:hAnsi="Times New Roman" w:cs="Times New Roman"/>
          <w:lang w:val="sr-Cyrl-RS"/>
        </w:rPr>
        <w:t>стечајни управник предложио доношење решења на завршном рочишту којим ће се усвојити завршни рачун, а неуновчена имовина пренети на повериоце</w:t>
      </w:r>
      <w:r w:rsidR="00E351B8" w:rsidRPr="005D10F3">
        <w:rPr>
          <w:rFonts w:ascii="Times New Roman" w:hAnsi="Times New Roman" w:cs="Times New Roman"/>
          <w:lang w:val="sr-Cyrl-RS"/>
        </w:rPr>
        <w:t>.</w:t>
      </w:r>
      <w:r w:rsidR="00E9612A" w:rsidRPr="005D10F3">
        <w:rPr>
          <w:rFonts w:ascii="Times New Roman" w:hAnsi="Times New Roman" w:cs="Times New Roman"/>
          <w:lang w:val="sr-Cyrl-RS"/>
        </w:rPr>
        <w:t xml:space="preserve"> </w:t>
      </w:r>
    </w:p>
    <w:p w:rsidR="00310909" w:rsidRDefault="00310909" w:rsidP="00D91B1F">
      <w:pPr>
        <w:pStyle w:val="Footer"/>
        <w:tabs>
          <w:tab w:val="clear" w:pos="4153"/>
          <w:tab w:val="clear" w:pos="8306"/>
          <w:tab w:val="left" w:pos="851"/>
        </w:tabs>
        <w:jc w:val="both"/>
        <w:rPr>
          <w:sz w:val="22"/>
          <w:szCs w:val="22"/>
          <w:lang w:val="sr-Cyrl-RS"/>
        </w:rPr>
      </w:pPr>
    </w:p>
    <w:p w:rsidR="00D91B1F" w:rsidRPr="001C1E12" w:rsidRDefault="00E9612A" w:rsidP="00D91B1F">
      <w:pPr>
        <w:pStyle w:val="Footer"/>
        <w:tabs>
          <w:tab w:val="clear" w:pos="4153"/>
          <w:tab w:val="clear" w:pos="8306"/>
          <w:tab w:val="left" w:pos="851"/>
        </w:tabs>
        <w:jc w:val="both"/>
        <w:rPr>
          <w:sz w:val="22"/>
          <w:szCs w:val="22"/>
          <w:lang w:val="sr-Cyrl-RS"/>
        </w:rPr>
      </w:pPr>
      <w:r>
        <w:rPr>
          <w:sz w:val="22"/>
          <w:szCs w:val="22"/>
          <w:lang w:val="sr-Cyrl-RS"/>
        </w:rPr>
        <w:t>Неуновчену имовину су чинила</w:t>
      </w:r>
      <w:r w:rsidR="00F65FE5">
        <w:rPr>
          <w:sz w:val="22"/>
          <w:szCs w:val="22"/>
          <w:lang w:val="sr-Cyrl-RS"/>
        </w:rPr>
        <w:t>:</w:t>
      </w:r>
      <w:r w:rsidR="00E351B8">
        <w:rPr>
          <w:sz w:val="22"/>
          <w:szCs w:val="22"/>
          <w:lang w:val="sr-Cyrl-RS"/>
        </w:rPr>
        <w:t xml:space="preserve"> </w:t>
      </w:r>
    </w:p>
    <w:p w:rsidR="00EF56A5" w:rsidRDefault="00EF56A5" w:rsidP="004D1650">
      <w:pPr>
        <w:spacing w:after="0" w:line="240" w:lineRule="auto"/>
        <w:jc w:val="both"/>
        <w:rPr>
          <w:rFonts w:ascii="Times New Roman" w:eastAsia="Times New Roman" w:hAnsi="Times New Roman" w:cs="Times New Roman"/>
          <w:lang w:eastAsia="sr-Latn-RS"/>
        </w:rPr>
      </w:pPr>
    </w:p>
    <w:p w:rsidR="00AC443B" w:rsidRPr="004E6080" w:rsidRDefault="00AC443B" w:rsidP="00974134">
      <w:pPr>
        <w:pStyle w:val="ListParagraph"/>
        <w:spacing w:after="0" w:line="240" w:lineRule="auto"/>
        <w:ind w:left="0"/>
        <w:rPr>
          <w:rFonts w:ascii="Times New Roman" w:hAnsi="Times New Roman" w:cs="Times New Roman"/>
          <w:b/>
          <w:color w:val="000000"/>
          <w:sz w:val="20"/>
          <w:szCs w:val="20"/>
          <w:lang w:val="sr-Cyrl-CS"/>
        </w:rPr>
      </w:pPr>
      <w:r w:rsidRPr="004E6080">
        <w:rPr>
          <w:rFonts w:ascii="Times New Roman" w:hAnsi="Times New Roman" w:cs="Times New Roman"/>
          <w:b/>
          <w:color w:val="000000"/>
          <w:sz w:val="20"/>
          <w:szCs w:val="20"/>
          <w:lang w:val="sr-Cyrl-CS"/>
        </w:rPr>
        <w:t>ПОТРАЖИВАЊА ПО ОСНОВУ СУДСКИХ ПОСТУПАКА</w:t>
      </w:r>
    </w:p>
    <w:p w:rsidR="00AC443B" w:rsidRPr="00304DC3" w:rsidRDefault="008449DD" w:rsidP="00974134">
      <w:pPr>
        <w:pStyle w:val="Caption"/>
        <w:keepNext/>
        <w:rPr>
          <w:rFonts w:ascii="Times New Roman" w:hAnsi="Times New Roman"/>
          <w:color w:val="000000"/>
          <w:lang w:val="sr-Cyrl-CS"/>
        </w:rPr>
      </w:pPr>
      <w:r w:rsidRPr="00304DC3">
        <w:rPr>
          <w:rFonts w:ascii="Times New Roman" w:hAnsi="Times New Roman"/>
          <w:color w:val="000000"/>
        </w:rPr>
        <w:t xml:space="preserve">Табела 1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3060"/>
        <w:gridCol w:w="1980"/>
      </w:tblGrid>
      <w:tr w:rsidR="00AC443B" w:rsidRPr="00304DC3" w:rsidTr="00304DC3">
        <w:trPr>
          <w:trHeight w:val="560"/>
        </w:trPr>
        <w:tc>
          <w:tcPr>
            <w:tcW w:w="648" w:type="dxa"/>
            <w:vAlign w:val="center"/>
          </w:tcPr>
          <w:p w:rsidR="00AC443B" w:rsidRPr="00304DC3" w:rsidRDefault="00AC443B" w:rsidP="00974134">
            <w:pPr>
              <w:spacing w:after="0" w:line="240" w:lineRule="auto"/>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Ред.бр.</w:t>
            </w:r>
          </w:p>
        </w:tc>
        <w:tc>
          <w:tcPr>
            <w:tcW w:w="3420" w:type="dxa"/>
            <w:vAlign w:val="center"/>
          </w:tcPr>
          <w:p w:rsidR="00AC443B" w:rsidRPr="00304DC3" w:rsidRDefault="00AC443B" w:rsidP="00974134">
            <w:pPr>
              <w:spacing w:after="0" w:line="240" w:lineRule="auto"/>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Назив дужника</w:t>
            </w:r>
          </w:p>
        </w:tc>
        <w:tc>
          <w:tcPr>
            <w:tcW w:w="3060" w:type="dxa"/>
            <w:vAlign w:val="center"/>
          </w:tcPr>
          <w:p w:rsidR="00AC443B" w:rsidRPr="00304DC3" w:rsidRDefault="00AC443B" w:rsidP="00974134">
            <w:pPr>
              <w:spacing w:after="0" w:line="240" w:lineRule="auto"/>
              <w:jc w:val="center"/>
              <w:rPr>
                <w:rFonts w:ascii="Times New Roman" w:hAnsi="Times New Roman" w:cs="Times New Roman"/>
                <w:b/>
                <w:color w:val="000000"/>
                <w:sz w:val="20"/>
                <w:szCs w:val="20"/>
                <w:vertAlign w:val="superscript"/>
                <w:lang w:val="sr-Cyrl-CS"/>
              </w:rPr>
            </w:pPr>
            <w:r w:rsidRPr="00304DC3">
              <w:rPr>
                <w:rFonts w:ascii="Times New Roman" w:hAnsi="Times New Roman" w:cs="Times New Roman"/>
                <w:b/>
                <w:color w:val="000000"/>
                <w:sz w:val="20"/>
                <w:szCs w:val="20"/>
                <w:lang w:val="sr-Cyrl-CS"/>
              </w:rPr>
              <w:t>Број предмета</w:t>
            </w:r>
          </w:p>
        </w:tc>
        <w:tc>
          <w:tcPr>
            <w:tcW w:w="1980" w:type="dxa"/>
            <w:vAlign w:val="center"/>
          </w:tcPr>
          <w:p w:rsidR="00AC443B" w:rsidRPr="00304DC3" w:rsidRDefault="00AC443B" w:rsidP="00974134">
            <w:pPr>
              <w:spacing w:after="0" w:line="240" w:lineRule="auto"/>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Износ потраживања</w:t>
            </w:r>
          </w:p>
        </w:tc>
      </w:tr>
      <w:tr w:rsidR="00AC443B" w:rsidRPr="00304DC3" w:rsidTr="008449DD">
        <w:trPr>
          <w:trHeight w:val="207"/>
        </w:trPr>
        <w:tc>
          <w:tcPr>
            <w:tcW w:w="648" w:type="dxa"/>
            <w:vAlign w:val="center"/>
          </w:tcPr>
          <w:p w:rsidR="00AC443B" w:rsidRPr="00304DC3" w:rsidRDefault="00AC443B" w:rsidP="006C5FBB">
            <w:pPr>
              <w:jc w:val="center"/>
              <w:rPr>
                <w:rFonts w:ascii="Times New Roman" w:hAnsi="Times New Roman" w:cs="Times New Roman"/>
                <w:b/>
                <w:color w:val="000000"/>
                <w:sz w:val="20"/>
                <w:szCs w:val="20"/>
                <w:lang w:val="sr-Cyrl-CS"/>
              </w:rPr>
            </w:pPr>
          </w:p>
        </w:tc>
        <w:tc>
          <w:tcPr>
            <w:tcW w:w="3420" w:type="dxa"/>
            <w:vAlign w:val="center"/>
          </w:tcPr>
          <w:p w:rsidR="00AC443B" w:rsidRPr="00304DC3" w:rsidRDefault="00AC443B" w:rsidP="009E78F7">
            <w:pPr>
              <w:spacing w:after="0" w:line="240" w:lineRule="auto"/>
              <w:jc w:val="both"/>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УКУПНО:</w:t>
            </w:r>
          </w:p>
        </w:tc>
        <w:tc>
          <w:tcPr>
            <w:tcW w:w="3060" w:type="dxa"/>
            <w:vAlign w:val="center"/>
          </w:tcPr>
          <w:p w:rsidR="00AC443B" w:rsidRPr="00304DC3" w:rsidRDefault="00AC443B" w:rsidP="009E78F7">
            <w:pPr>
              <w:spacing w:after="0" w:line="240" w:lineRule="auto"/>
              <w:jc w:val="both"/>
              <w:rPr>
                <w:rFonts w:ascii="Times New Roman" w:hAnsi="Times New Roman" w:cs="Times New Roman"/>
                <w:b/>
                <w:color w:val="000000"/>
                <w:sz w:val="20"/>
                <w:szCs w:val="20"/>
                <w:lang w:val="sr-Cyrl-CS"/>
              </w:rPr>
            </w:pPr>
          </w:p>
        </w:tc>
        <w:tc>
          <w:tcPr>
            <w:tcW w:w="1980" w:type="dxa"/>
            <w:vAlign w:val="center"/>
          </w:tcPr>
          <w:p w:rsidR="00AC443B" w:rsidRPr="00304DC3" w:rsidRDefault="00AC443B" w:rsidP="00F06039">
            <w:pPr>
              <w:spacing w:after="0" w:line="240" w:lineRule="auto"/>
              <w:jc w:val="right"/>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1.787.497,25</w:t>
            </w:r>
          </w:p>
        </w:tc>
      </w:tr>
    </w:tbl>
    <w:p w:rsidR="004E6080" w:rsidRDefault="004E6080" w:rsidP="00974134">
      <w:pPr>
        <w:pStyle w:val="ListParagraph"/>
        <w:spacing w:after="0" w:line="240" w:lineRule="auto"/>
        <w:ind w:left="0"/>
        <w:rPr>
          <w:rFonts w:ascii="Times New Roman" w:hAnsi="Times New Roman"/>
          <w:b/>
          <w:caps/>
          <w:color w:val="000000"/>
          <w:lang w:val="sr-Cyrl-CS"/>
        </w:rPr>
      </w:pPr>
    </w:p>
    <w:p w:rsidR="00D30FFB" w:rsidRPr="004E6080" w:rsidRDefault="00D30FFB" w:rsidP="00974134">
      <w:pPr>
        <w:pStyle w:val="ListParagraph"/>
        <w:spacing w:after="0" w:line="240" w:lineRule="auto"/>
        <w:ind w:left="0"/>
        <w:rPr>
          <w:rFonts w:ascii="Times New Roman" w:hAnsi="Times New Roman"/>
          <w:b/>
          <w:caps/>
          <w:color w:val="000000"/>
          <w:sz w:val="20"/>
          <w:szCs w:val="20"/>
          <w:lang w:val="sr-Cyrl-CS"/>
        </w:rPr>
      </w:pPr>
      <w:r w:rsidRPr="004E6080">
        <w:rPr>
          <w:rFonts w:ascii="Times New Roman" w:hAnsi="Times New Roman"/>
          <w:b/>
          <w:caps/>
          <w:color w:val="000000"/>
          <w:sz w:val="20"/>
          <w:szCs w:val="20"/>
          <w:lang w:val="sr-Cyrl-CS"/>
        </w:rPr>
        <w:t>потраживања по основу откупа станова на рате</w:t>
      </w:r>
    </w:p>
    <w:p w:rsidR="001C1E12" w:rsidRDefault="001C1E12" w:rsidP="0079576E">
      <w:pPr>
        <w:spacing w:after="0"/>
        <w:jc w:val="both"/>
        <w:rPr>
          <w:rFonts w:ascii="Times New Roman" w:hAnsi="Times New Roman" w:cs="Times New Roman"/>
          <w:color w:val="000000"/>
          <w:lang w:val="sr-Cyrl-CS"/>
        </w:rPr>
      </w:pPr>
    </w:p>
    <w:p w:rsidR="00D30FFB" w:rsidRPr="00D30FFB" w:rsidRDefault="00D30FFB" w:rsidP="0079576E">
      <w:pPr>
        <w:spacing w:after="0"/>
        <w:jc w:val="both"/>
        <w:rPr>
          <w:rFonts w:ascii="Times New Roman" w:hAnsi="Times New Roman" w:cs="Times New Roman"/>
          <w:color w:val="000000"/>
          <w:lang w:val="sr-Cyrl-CS"/>
        </w:rPr>
      </w:pPr>
      <w:r w:rsidRPr="00D30FFB">
        <w:rPr>
          <w:rFonts w:ascii="Times New Roman" w:hAnsi="Times New Roman" w:cs="Times New Roman"/>
          <w:color w:val="000000"/>
          <w:lang w:val="sr-Cyrl-CS"/>
        </w:rPr>
        <w:t>Стечајни дужник поседује обезбеђена потраживања по основу уговора о откупу стана на рате за 42 стана (</w:t>
      </w:r>
      <w:r w:rsidRPr="00D30FFB">
        <w:rPr>
          <w:rFonts w:ascii="Times New Roman" w:hAnsi="Times New Roman" w:cs="Times New Roman"/>
          <w:b/>
          <w:color w:val="000000"/>
          <w:lang w:val="sr-Cyrl-CS"/>
        </w:rPr>
        <w:t>ревалоризација изврше</w:t>
      </w:r>
      <w:r w:rsidR="0075616C">
        <w:rPr>
          <w:rFonts w:ascii="Times New Roman" w:hAnsi="Times New Roman" w:cs="Times New Roman"/>
          <w:b/>
          <w:color w:val="000000"/>
          <w:lang w:val="sr-Cyrl-CS"/>
        </w:rPr>
        <w:t>на</w:t>
      </w:r>
      <w:r w:rsidR="00543649">
        <w:rPr>
          <w:rFonts w:ascii="Times New Roman" w:hAnsi="Times New Roman" w:cs="Times New Roman"/>
          <w:b/>
          <w:color w:val="000000"/>
          <w:lang w:val="sr-Cyrl-CS"/>
        </w:rPr>
        <w:t xml:space="preserve"> на дан_________</w:t>
      </w:r>
      <w:r w:rsidRPr="00D30FFB">
        <w:rPr>
          <w:rFonts w:ascii="Times New Roman" w:hAnsi="Times New Roman" w:cs="Times New Roman"/>
          <w:color w:val="000000"/>
          <w:lang w:val="sr-Cyrl-CS"/>
        </w:rPr>
        <w:t xml:space="preserve">) и то: </w:t>
      </w:r>
    </w:p>
    <w:p w:rsidR="00D30FFB" w:rsidRPr="00304DC3" w:rsidRDefault="00304DC3" w:rsidP="00D30FFB">
      <w:pPr>
        <w:pStyle w:val="Caption"/>
        <w:keepNext/>
        <w:rPr>
          <w:rFonts w:ascii="Times New Roman" w:hAnsi="Times New Roman"/>
          <w:color w:val="000000"/>
          <w:lang w:val="sr-Cyrl-RS"/>
        </w:rPr>
      </w:pPr>
      <w:r>
        <w:rPr>
          <w:rFonts w:ascii="Times New Roman" w:hAnsi="Times New Roman"/>
          <w:color w:val="000000"/>
        </w:rPr>
        <w:t xml:space="preserve">Табела 2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720"/>
        <w:gridCol w:w="1674"/>
        <w:gridCol w:w="1559"/>
        <w:gridCol w:w="2410"/>
      </w:tblGrid>
      <w:tr w:rsidR="00D30FFB" w:rsidRPr="00304DC3" w:rsidTr="00B75CA4">
        <w:tc>
          <w:tcPr>
            <w:tcW w:w="648" w:type="dxa"/>
            <w:vAlign w:val="center"/>
          </w:tcPr>
          <w:p w:rsidR="00D30FFB" w:rsidRPr="00304DC3" w:rsidRDefault="00D30FFB" w:rsidP="006C5FBB">
            <w:pPr>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Ред.бр.</w:t>
            </w:r>
          </w:p>
        </w:tc>
        <w:tc>
          <w:tcPr>
            <w:tcW w:w="2340" w:type="dxa"/>
            <w:vAlign w:val="center"/>
          </w:tcPr>
          <w:p w:rsidR="00D30FFB" w:rsidRPr="00304DC3" w:rsidRDefault="00D30FFB" w:rsidP="006C5FBB">
            <w:pPr>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Име и презиме</w:t>
            </w:r>
          </w:p>
        </w:tc>
        <w:tc>
          <w:tcPr>
            <w:tcW w:w="720" w:type="dxa"/>
            <w:vAlign w:val="center"/>
          </w:tcPr>
          <w:p w:rsidR="00D30FFB" w:rsidRPr="00304DC3" w:rsidRDefault="00D30FFB" w:rsidP="006C5FBB">
            <w:pPr>
              <w:jc w:val="center"/>
              <w:rPr>
                <w:rFonts w:ascii="Times New Roman" w:hAnsi="Times New Roman" w:cs="Times New Roman"/>
                <w:b/>
                <w:color w:val="000000"/>
                <w:sz w:val="20"/>
                <w:szCs w:val="20"/>
                <w:vertAlign w:val="superscript"/>
                <w:lang w:val="sr-Cyrl-CS"/>
              </w:rPr>
            </w:pPr>
            <w:r w:rsidRPr="00304DC3">
              <w:rPr>
                <w:rFonts w:ascii="Times New Roman" w:hAnsi="Times New Roman" w:cs="Times New Roman"/>
                <w:b/>
                <w:color w:val="000000"/>
                <w:sz w:val="20"/>
                <w:szCs w:val="20"/>
                <w:lang w:val="sr-Cyrl-CS"/>
              </w:rPr>
              <w:t>м</w:t>
            </w:r>
            <w:r w:rsidRPr="00304DC3">
              <w:rPr>
                <w:rFonts w:ascii="Times New Roman" w:hAnsi="Times New Roman" w:cs="Times New Roman"/>
                <w:b/>
                <w:color w:val="000000"/>
                <w:sz w:val="20"/>
                <w:szCs w:val="20"/>
                <w:vertAlign w:val="superscript"/>
                <w:lang w:val="sr-Cyrl-CS"/>
              </w:rPr>
              <w:t>2</w:t>
            </w:r>
          </w:p>
        </w:tc>
        <w:tc>
          <w:tcPr>
            <w:tcW w:w="1674" w:type="dxa"/>
            <w:vAlign w:val="center"/>
          </w:tcPr>
          <w:p w:rsidR="00D30FFB" w:rsidRPr="00304DC3" w:rsidRDefault="00D30FFB" w:rsidP="006C5FBB">
            <w:pPr>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Адреса</w:t>
            </w:r>
          </w:p>
        </w:tc>
        <w:tc>
          <w:tcPr>
            <w:tcW w:w="1559" w:type="dxa"/>
            <w:vAlign w:val="center"/>
          </w:tcPr>
          <w:p w:rsidR="00D30FFB" w:rsidRPr="00304DC3" w:rsidRDefault="00D30FFB" w:rsidP="006C5FBB">
            <w:pPr>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Основ власништва</w:t>
            </w:r>
          </w:p>
        </w:tc>
        <w:tc>
          <w:tcPr>
            <w:tcW w:w="2410" w:type="dxa"/>
            <w:vAlign w:val="center"/>
          </w:tcPr>
          <w:p w:rsidR="00D30FFB" w:rsidRPr="00304DC3" w:rsidRDefault="00D30FFB" w:rsidP="006C5FBB">
            <w:pPr>
              <w:jc w:val="center"/>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Преостали износ дуга</w:t>
            </w:r>
          </w:p>
        </w:tc>
      </w:tr>
      <w:tr w:rsidR="009E78F7" w:rsidRPr="00304DC3" w:rsidTr="007E66E3">
        <w:tc>
          <w:tcPr>
            <w:tcW w:w="648" w:type="dxa"/>
            <w:tcBorders>
              <w:top w:val="single" w:sz="4" w:space="0" w:color="auto"/>
              <w:left w:val="single" w:sz="4" w:space="0" w:color="auto"/>
              <w:bottom w:val="single" w:sz="4" w:space="0" w:color="auto"/>
              <w:right w:val="single" w:sz="4" w:space="0" w:color="auto"/>
            </w:tcBorders>
            <w:vAlign w:val="center"/>
          </w:tcPr>
          <w:p w:rsidR="009E78F7" w:rsidRPr="00304DC3" w:rsidRDefault="009E78F7" w:rsidP="009E78F7">
            <w:pPr>
              <w:jc w:val="center"/>
              <w:rPr>
                <w:rFonts w:ascii="Times New Roman" w:hAnsi="Times New Roman"/>
                <w:b/>
                <w:color w:val="000000"/>
                <w:sz w:val="20"/>
                <w:szCs w:val="20"/>
                <w:lang w:val="sr-Cyrl-CS"/>
              </w:rPr>
            </w:pPr>
          </w:p>
        </w:tc>
        <w:tc>
          <w:tcPr>
            <w:tcW w:w="2340" w:type="dxa"/>
            <w:vAlign w:val="center"/>
          </w:tcPr>
          <w:p w:rsidR="009E78F7" w:rsidRPr="00304DC3" w:rsidRDefault="009E78F7" w:rsidP="009E78F7">
            <w:pPr>
              <w:spacing w:after="0" w:line="240" w:lineRule="auto"/>
              <w:jc w:val="both"/>
              <w:rPr>
                <w:rFonts w:ascii="Times New Roman" w:hAnsi="Times New Roman" w:cs="Times New Roman"/>
                <w:b/>
                <w:color w:val="000000"/>
                <w:sz w:val="20"/>
                <w:szCs w:val="20"/>
                <w:lang w:val="sr-Cyrl-CS"/>
              </w:rPr>
            </w:pPr>
            <w:r w:rsidRPr="00304DC3">
              <w:rPr>
                <w:rFonts w:ascii="Times New Roman" w:hAnsi="Times New Roman" w:cs="Times New Roman"/>
                <w:b/>
                <w:color w:val="000000"/>
                <w:sz w:val="20"/>
                <w:szCs w:val="20"/>
                <w:lang w:val="sr-Cyrl-CS"/>
              </w:rPr>
              <w:t>УКУПНО:</w:t>
            </w:r>
          </w:p>
        </w:tc>
        <w:tc>
          <w:tcPr>
            <w:tcW w:w="720" w:type="dxa"/>
            <w:vAlign w:val="center"/>
          </w:tcPr>
          <w:p w:rsidR="009E78F7" w:rsidRPr="00304DC3" w:rsidRDefault="009E78F7" w:rsidP="009E78F7">
            <w:pPr>
              <w:spacing w:after="0" w:line="240" w:lineRule="auto"/>
              <w:jc w:val="both"/>
              <w:rPr>
                <w:rFonts w:ascii="Times New Roman" w:hAnsi="Times New Roman" w:cs="Times New Roman"/>
                <w:b/>
                <w:color w:val="000000"/>
                <w:sz w:val="20"/>
                <w:szCs w:val="20"/>
                <w:lang w:val="sr-Cyrl-CS"/>
              </w:rPr>
            </w:pPr>
          </w:p>
        </w:tc>
        <w:tc>
          <w:tcPr>
            <w:tcW w:w="1674" w:type="dxa"/>
            <w:tcBorders>
              <w:top w:val="single" w:sz="4" w:space="0" w:color="auto"/>
              <w:left w:val="single" w:sz="4" w:space="0" w:color="auto"/>
              <w:bottom w:val="single" w:sz="4" w:space="0" w:color="auto"/>
              <w:right w:val="single" w:sz="4" w:space="0" w:color="auto"/>
            </w:tcBorders>
            <w:vAlign w:val="center"/>
          </w:tcPr>
          <w:p w:rsidR="009E78F7" w:rsidRPr="00304DC3" w:rsidRDefault="009E78F7" w:rsidP="009E78F7">
            <w:pPr>
              <w:spacing w:after="0" w:line="240" w:lineRule="auto"/>
              <w:rPr>
                <w:rFonts w:ascii="Times New Roman" w:hAnsi="Times New Roman"/>
                <w:color w:val="000000"/>
                <w:sz w:val="20"/>
                <w:szCs w:val="20"/>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rsidR="009E78F7" w:rsidRPr="00304DC3" w:rsidRDefault="009E78F7" w:rsidP="009E78F7">
            <w:pPr>
              <w:spacing w:after="0" w:line="240" w:lineRule="auto"/>
              <w:rPr>
                <w:rFonts w:ascii="Times New Roman" w:hAnsi="Times New Roman"/>
                <w:color w:val="000000"/>
                <w:sz w:val="20"/>
                <w:szCs w:val="20"/>
                <w:lang w:val="sr-Cyrl-CS"/>
              </w:rPr>
            </w:pPr>
          </w:p>
        </w:tc>
        <w:tc>
          <w:tcPr>
            <w:tcW w:w="2410" w:type="dxa"/>
            <w:tcBorders>
              <w:top w:val="single" w:sz="4" w:space="0" w:color="auto"/>
              <w:left w:val="single" w:sz="4" w:space="0" w:color="auto"/>
              <w:bottom w:val="single" w:sz="4" w:space="0" w:color="auto"/>
              <w:right w:val="single" w:sz="4" w:space="0" w:color="auto"/>
            </w:tcBorders>
            <w:vAlign w:val="center"/>
          </w:tcPr>
          <w:p w:rsidR="009E78F7" w:rsidRPr="00304DC3" w:rsidRDefault="009E78F7" w:rsidP="009E78F7">
            <w:pPr>
              <w:spacing w:after="0" w:line="240" w:lineRule="auto"/>
              <w:jc w:val="right"/>
              <w:rPr>
                <w:rFonts w:ascii="Times New Roman" w:hAnsi="Times New Roman"/>
                <w:b/>
                <w:color w:val="000000"/>
                <w:sz w:val="20"/>
                <w:szCs w:val="20"/>
                <w:lang w:val="sr-Cyrl-CS"/>
              </w:rPr>
            </w:pPr>
            <w:r>
              <w:rPr>
                <w:rFonts w:ascii="Times New Roman" w:hAnsi="Times New Roman"/>
                <w:b/>
                <w:color w:val="000000"/>
                <w:sz w:val="20"/>
                <w:szCs w:val="20"/>
                <w:lang w:val="sr-Cyrl-CS"/>
              </w:rPr>
              <w:t>24.998.</w:t>
            </w:r>
            <w:r w:rsidRPr="00304DC3">
              <w:rPr>
                <w:rFonts w:ascii="Times New Roman" w:hAnsi="Times New Roman"/>
                <w:b/>
                <w:color w:val="000000"/>
                <w:sz w:val="20"/>
                <w:szCs w:val="20"/>
                <w:lang w:val="sr-Cyrl-CS"/>
              </w:rPr>
              <w:t>315,72</w:t>
            </w:r>
          </w:p>
        </w:tc>
      </w:tr>
    </w:tbl>
    <w:p w:rsidR="005747F0" w:rsidRDefault="005747F0" w:rsidP="00357FB3">
      <w:pPr>
        <w:spacing w:after="0" w:line="240" w:lineRule="auto"/>
        <w:jc w:val="both"/>
        <w:rPr>
          <w:rFonts w:ascii="Times New Roman" w:hAnsi="Times New Roman"/>
          <w:color w:val="000000"/>
          <w:lang w:val="sr-Cyrl-CS"/>
        </w:rPr>
      </w:pPr>
    </w:p>
    <w:p w:rsidR="00A43C99" w:rsidRDefault="00A43C99" w:rsidP="00357FB3">
      <w:pPr>
        <w:spacing w:after="0" w:line="240" w:lineRule="auto"/>
        <w:jc w:val="both"/>
        <w:rPr>
          <w:rFonts w:ascii="Times New Roman" w:hAnsi="Times New Roman"/>
          <w:color w:val="000000"/>
          <w:lang w:val="sr-Cyrl-CS"/>
        </w:rPr>
      </w:pPr>
      <w:r>
        <w:rPr>
          <w:rFonts w:ascii="Times New Roman" w:hAnsi="Times New Roman"/>
          <w:color w:val="000000"/>
          <w:lang w:val="sr-Cyrl-CS"/>
        </w:rPr>
        <w:t>С о</w:t>
      </w:r>
      <w:r w:rsidRPr="00FB1889">
        <w:rPr>
          <w:rFonts w:ascii="Times New Roman" w:hAnsi="Times New Roman"/>
          <w:color w:val="000000"/>
          <w:lang w:val="sr-Cyrl-CS"/>
        </w:rPr>
        <w:t>бзиром да је стечајни управник у обавези да уновчи целокупну имовину</w:t>
      </w:r>
      <w:r>
        <w:rPr>
          <w:rFonts w:ascii="Times New Roman" w:hAnsi="Times New Roman"/>
          <w:color w:val="000000"/>
          <w:lang w:val="sr-Cyrl-CS"/>
        </w:rPr>
        <w:t>,</w:t>
      </w:r>
      <w:r w:rsidRPr="00FB1889">
        <w:rPr>
          <w:rFonts w:ascii="Times New Roman" w:hAnsi="Times New Roman"/>
          <w:color w:val="000000"/>
          <w:lang w:val="sr-Cyrl-CS"/>
        </w:rPr>
        <w:t xml:space="preserve"> па и предметна потраживања по основу уговора о откупу стана, у више наврата тражено је писмено да се купци станова на рате изјасне да ли желе да отплате преостале</w:t>
      </w:r>
      <w:r w:rsidR="001C1E12">
        <w:rPr>
          <w:rFonts w:ascii="Times New Roman" w:hAnsi="Times New Roman"/>
          <w:color w:val="000000"/>
          <w:lang w:val="sr-Cyrl-CS"/>
        </w:rPr>
        <w:t xml:space="preserve"> рате</w:t>
      </w:r>
      <w:r w:rsidRPr="00FB1889">
        <w:rPr>
          <w:rFonts w:ascii="Times New Roman" w:hAnsi="Times New Roman"/>
          <w:color w:val="000000"/>
          <w:lang w:val="sr-Cyrl-CS"/>
        </w:rPr>
        <w:t>, међутим, нико од  наведених купаца станова није поднео захтев за отплату преосталих рата у целости</w:t>
      </w:r>
      <w:r>
        <w:rPr>
          <w:rFonts w:ascii="Times New Roman" w:hAnsi="Times New Roman"/>
          <w:color w:val="000000"/>
          <w:lang w:val="sr-Cyrl-CS"/>
        </w:rPr>
        <w:t>,</w:t>
      </w:r>
      <w:r w:rsidRPr="00FB1889">
        <w:rPr>
          <w:rFonts w:ascii="Times New Roman" w:hAnsi="Times New Roman"/>
          <w:color w:val="000000"/>
          <w:lang w:val="sr-Cyrl-CS"/>
        </w:rPr>
        <w:t xml:space="preserve"> тако да се ова потраживања преносе повериоцима.</w:t>
      </w:r>
    </w:p>
    <w:p w:rsidR="002D702F" w:rsidRDefault="002D702F" w:rsidP="00357FB3">
      <w:pPr>
        <w:spacing w:after="0" w:line="240" w:lineRule="auto"/>
        <w:jc w:val="both"/>
        <w:rPr>
          <w:rFonts w:ascii="Times New Roman" w:hAnsi="Times New Roman"/>
          <w:color w:val="000000"/>
          <w:lang w:val="sr-Cyrl-CS"/>
        </w:rPr>
      </w:pPr>
    </w:p>
    <w:p w:rsidR="003D5020" w:rsidRPr="004E6080" w:rsidRDefault="00F65FE5" w:rsidP="00974134">
      <w:pPr>
        <w:pStyle w:val="ListParagraph"/>
        <w:spacing w:after="0" w:line="240" w:lineRule="auto"/>
        <w:ind w:left="0"/>
        <w:rPr>
          <w:rFonts w:ascii="Times New Roman" w:hAnsi="Times New Roman"/>
          <w:color w:val="000000"/>
          <w:sz w:val="20"/>
          <w:szCs w:val="20"/>
          <w:lang w:val="sr-Cyrl-CS"/>
        </w:rPr>
      </w:pPr>
      <w:r w:rsidRPr="004E6080">
        <w:rPr>
          <w:rFonts w:ascii="Times New Roman" w:hAnsi="Times New Roman"/>
          <w:b/>
          <w:caps/>
          <w:color w:val="000000"/>
          <w:sz w:val="20"/>
          <w:szCs w:val="20"/>
          <w:lang w:val="sr-Cyrl-CS"/>
        </w:rPr>
        <w:t xml:space="preserve">станови у својини стечајног дужника </w:t>
      </w:r>
      <w:r w:rsidR="00B97F48" w:rsidRPr="004E6080">
        <w:rPr>
          <w:rFonts w:ascii="Times New Roman" w:hAnsi="Times New Roman"/>
          <w:b/>
          <w:caps/>
          <w:color w:val="000000"/>
          <w:sz w:val="20"/>
          <w:szCs w:val="20"/>
          <w:lang w:val="sr-Cyrl-RS"/>
        </w:rPr>
        <w:t>У</w:t>
      </w:r>
      <w:r w:rsidR="00974134" w:rsidRPr="004E6080">
        <w:rPr>
          <w:rFonts w:ascii="Times New Roman" w:hAnsi="Times New Roman"/>
          <w:b/>
          <w:caps/>
          <w:color w:val="000000"/>
          <w:sz w:val="20"/>
          <w:szCs w:val="20"/>
          <w:lang w:val="sr-Cyrl-RS"/>
        </w:rPr>
        <w:t xml:space="preserve"> </w:t>
      </w:r>
      <w:r w:rsidR="003D5020" w:rsidRPr="004E6080">
        <w:rPr>
          <w:rFonts w:ascii="Times New Roman" w:hAnsi="Times New Roman"/>
          <w:b/>
          <w:caps/>
          <w:color w:val="000000"/>
          <w:sz w:val="20"/>
          <w:szCs w:val="20"/>
          <w:lang w:val="sr-Cyrl-CS"/>
        </w:rPr>
        <w:t>Т</w:t>
      </w:r>
      <w:r w:rsidR="00B97F48" w:rsidRPr="004E6080">
        <w:rPr>
          <w:rFonts w:ascii="Times New Roman" w:hAnsi="Times New Roman"/>
          <w:b/>
          <w:caps/>
          <w:color w:val="000000"/>
          <w:sz w:val="20"/>
          <w:szCs w:val="20"/>
          <w:lang w:val="sr-Cyrl-CS"/>
        </w:rPr>
        <w:t>РАЈНОМ ЗАКУПУ</w:t>
      </w:r>
    </w:p>
    <w:p w:rsidR="0079576E" w:rsidRDefault="0079576E" w:rsidP="00974134">
      <w:pPr>
        <w:spacing w:after="0" w:line="240" w:lineRule="auto"/>
        <w:jc w:val="both"/>
        <w:rPr>
          <w:rFonts w:ascii="Times New Roman" w:hAnsi="Times New Roman"/>
          <w:color w:val="000000"/>
          <w:lang w:val="sr-Cyrl-CS"/>
        </w:rPr>
      </w:pPr>
    </w:p>
    <w:p w:rsidR="003D5020" w:rsidRDefault="003D5020" w:rsidP="00974134">
      <w:pPr>
        <w:spacing w:after="0" w:line="240" w:lineRule="auto"/>
        <w:jc w:val="both"/>
        <w:rPr>
          <w:rFonts w:ascii="Times New Roman" w:hAnsi="Times New Roman"/>
          <w:color w:val="000000"/>
          <w:lang w:val="sr-Cyrl-CS"/>
        </w:rPr>
      </w:pPr>
      <w:r>
        <w:rPr>
          <w:rFonts w:ascii="Times New Roman" w:hAnsi="Times New Roman"/>
          <w:color w:val="000000"/>
          <w:lang w:val="sr-Cyrl-CS"/>
        </w:rPr>
        <w:t>Стечајни дужник поседује 10 станова који</w:t>
      </w:r>
      <w:r w:rsidRPr="0018048D">
        <w:rPr>
          <w:rFonts w:ascii="Times New Roman" w:hAnsi="Times New Roman"/>
          <w:color w:val="000000"/>
          <w:lang w:val="sr-Cyrl-CS"/>
        </w:rPr>
        <w:t xml:space="preserve"> су под теретом трајног закупа. Ова имовина није уновчена из разлога што </w:t>
      </w:r>
      <w:r>
        <w:rPr>
          <w:rFonts w:ascii="Times New Roman" w:hAnsi="Times New Roman"/>
          <w:color w:val="000000"/>
          <w:lang w:val="sr-Cyrl-CS"/>
        </w:rPr>
        <w:t>закупци</w:t>
      </w:r>
      <w:r w:rsidRPr="0018048D">
        <w:rPr>
          <w:rFonts w:ascii="Times New Roman" w:hAnsi="Times New Roman"/>
          <w:color w:val="000000"/>
          <w:lang w:val="sr-Cyrl-CS"/>
        </w:rPr>
        <w:t xml:space="preserve"> и поред добијених обавештења од стране стечајног управника нису изразили спремност за куповину наведених  станова.</w:t>
      </w:r>
    </w:p>
    <w:p w:rsidR="000C63F7" w:rsidRDefault="000C63F7" w:rsidP="003D5020">
      <w:pPr>
        <w:pStyle w:val="Caption"/>
        <w:keepNext/>
        <w:rPr>
          <w:rFonts w:ascii="Times New Roman" w:hAnsi="Times New Roman"/>
          <w:color w:val="000000"/>
          <w:sz w:val="22"/>
          <w:szCs w:val="22"/>
        </w:rPr>
      </w:pPr>
    </w:p>
    <w:p w:rsidR="003D5020" w:rsidRPr="0079576E" w:rsidRDefault="003D5020" w:rsidP="003D5020">
      <w:pPr>
        <w:pStyle w:val="Caption"/>
        <w:keepNext/>
        <w:rPr>
          <w:rFonts w:ascii="Times New Roman" w:hAnsi="Times New Roman"/>
          <w:color w:val="000000"/>
          <w:sz w:val="22"/>
          <w:szCs w:val="22"/>
          <w:lang w:val="sr-Cyrl-RS"/>
        </w:rPr>
      </w:pPr>
      <w:r w:rsidRPr="00357FB3">
        <w:rPr>
          <w:rFonts w:ascii="Times New Roman" w:hAnsi="Times New Roman"/>
          <w:color w:val="000000"/>
          <w:sz w:val="22"/>
          <w:szCs w:val="22"/>
        </w:rPr>
        <w:t>Табела 3</w:t>
      </w:r>
      <w:r w:rsidR="0079576E">
        <w:rPr>
          <w:rFonts w:ascii="Times New Roman" w:hAnsi="Times New Roman"/>
          <w:color w:val="000000"/>
          <w:sz w:val="22"/>
          <w:szCs w:val="22"/>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158"/>
        <w:gridCol w:w="720"/>
        <w:gridCol w:w="1573"/>
        <w:gridCol w:w="2270"/>
        <w:gridCol w:w="1988"/>
      </w:tblGrid>
      <w:tr w:rsidR="003D5020" w:rsidRPr="00357FB3" w:rsidTr="00941550">
        <w:trPr>
          <w:trHeight w:val="778"/>
        </w:trPr>
        <w:tc>
          <w:tcPr>
            <w:tcW w:w="647" w:type="dxa"/>
            <w:vAlign w:val="center"/>
          </w:tcPr>
          <w:p w:rsidR="003D5020" w:rsidRPr="0079576E" w:rsidRDefault="003D5020"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Ред.бр.</w:t>
            </w:r>
          </w:p>
        </w:tc>
        <w:tc>
          <w:tcPr>
            <w:tcW w:w="2158" w:type="dxa"/>
            <w:vAlign w:val="center"/>
          </w:tcPr>
          <w:p w:rsidR="003D5020" w:rsidRPr="0079576E" w:rsidRDefault="003D5020"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Име и презиме носиоца станарског права</w:t>
            </w:r>
          </w:p>
        </w:tc>
        <w:tc>
          <w:tcPr>
            <w:tcW w:w="720" w:type="dxa"/>
            <w:vAlign w:val="center"/>
          </w:tcPr>
          <w:p w:rsidR="003D5020" w:rsidRPr="0079576E" w:rsidRDefault="003D5020" w:rsidP="006C5FBB">
            <w:pPr>
              <w:jc w:val="center"/>
              <w:rPr>
                <w:rFonts w:ascii="Times New Roman" w:hAnsi="Times New Roman" w:cs="Times New Roman"/>
                <w:b/>
                <w:color w:val="000000"/>
                <w:sz w:val="20"/>
                <w:szCs w:val="20"/>
                <w:vertAlign w:val="superscript"/>
                <w:lang w:val="sr-Cyrl-CS"/>
              </w:rPr>
            </w:pPr>
            <w:r w:rsidRPr="0079576E">
              <w:rPr>
                <w:rFonts w:ascii="Times New Roman" w:hAnsi="Times New Roman" w:cs="Times New Roman"/>
                <w:b/>
                <w:color w:val="000000"/>
                <w:sz w:val="20"/>
                <w:szCs w:val="20"/>
                <w:lang w:val="sr-Cyrl-CS"/>
              </w:rPr>
              <w:t>м</w:t>
            </w:r>
            <w:r w:rsidRPr="0079576E">
              <w:rPr>
                <w:rFonts w:ascii="Times New Roman" w:hAnsi="Times New Roman" w:cs="Times New Roman"/>
                <w:b/>
                <w:color w:val="000000"/>
                <w:sz w:val="20"/>
                <w:szCs w:val="20"/>
                <w:vertAlign w:val="superscript"/>
                <w:lang w:val="sr-Cyrl-CS"/>
              </w:rPr>
              <w:t>2</w:t>
            </w:r>
          </w:p>
        </w:tc>
        <w:tc>
          <w:tcPr>
            <w:tcW w:w="1573" w:type="dxa"/>
            <w:vAlign w:val="center"/>
          </w:tcPr>
          <w:p w:rsidR="003D5020" w:rsidRPr="0079576E" w:rsidRDefault="003D5020"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Адреса</w:t>
            </w:r>
          </w:p>
        </w:tc>
        <w:tc>
          <w:tcPr>
            <w:tcW w:w="2270" w:type="dxa"/>
            <w:vAlign w:val="center"/>
          </w:tcPr>
          <w:p w:rsidR="003D5020" w:rsidRPr="0079576E" w:rsidRDefault="003D5020"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Основ станарског права</w:t>
            </w:r>
          </w:p>
        </w:tc>
        <w:tc>
          <w:tcPr>
            <w:tcW w:w="1988" w:type="dxa"/>
            <w:vAlign w:val="center"/>
          </w:tcPr>
          <w:p w:rsidR="003D5020" w:rsidRPr="0079576E" w:rsidRDefault="003D5020"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Ликвидациона вредност</w:t>
            </w:r>
          </w:p>
        </w:tc>
      </w:tr>
      <w:tr w:rsidR="000B0583" w:rsidRPr="00357FB3" w:rsidTr="00941550">
        <w:trPr>
          <w:trHeight w:val="410"/>
        </w:trPr>
        <w:tc>
          <w:tcPr>
            <w:tcW w:w="647" w:type="dxa"/>
            <w:vAlign w:val="center"/>
          </w:tcPr>
          <w:p w:rsidR="000B0583" w:rsidRPr="0079576E" w:rsidRDefault="000B0583" w:rsidP="006C5FBB">
            <w:pPr>
              <w:jc w:val="center"/>
              <w:rPr>
                <w:rFonts w:ascii="Times New Roman" w:hAnsi="Times New Roman" w:cs="Times New Roman"/>
                <w:b/>
                <w:color w:val="000000"/>
                <w:sz w:val="20"/>
                <w:szCs w:val="20"/>
                <w:lang w:val="sr-Cyrl-CS"/>
              </w:rPr>
            </w:pPr>
          </w:p>
        </w:tc>
        <w:tc>
          <w:tcPr>
            <w:tcW w:w="2158" w:type="dxa"/>
            <w:vAlign w:val="center"/>
          </w:tcPr>
          <w:p w:rsidR="000B0583" w:rsidRPr="0079576E" w:rsidRDefault="000B0583" w:rsidP="006C5FBB">
            <w:pPr>
              <w:jc w:val="center"/>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Укупно</w:t>
            </w:r>
          </w:p>
        </w:tc>
        <w:tc>
          <w:tcPr>
            <w:tcW w:w="720" w:type="dxa"/>
            <w:vAlign w:val="center"/>
          </w:tcPr>
          <w:p w:rsidR="000B0583" w:rsidRPr="0079576E" w:rsidRDefault="000B0583" w:rsidP="006C5FBB">
            <w:pPr>
              <w:jc w:val="center"/>
              <w:rPr>
                <w:rFonts w:ascii="Times New Roman" w:hAnsi="Times New Roman" w:cs="Times New Roman"/>
                <w:b/>
                <w:color w:val="000000"/>
                <w:sz w:val="20"/>
                <w:szCs w:val="20"/>
                <w:lang w:val="sr-Cyrl-CS"/>
              </w:rPr>
            </w:pPr>
          </w:p>
        </w:tc>
        <w:tc>
          <w:tcPr>
            <w:tcW w:w="1573" w:type="dxa"/>
            <w:vAlign w:val="center"/>
          </w:tcPr>
          <w:p w:rsidR="000B0583" w:rsidRPr="0079576E" w:rsidRDefault="000B0583" w:rsidP="006C5FBB">
            <w:pPr>
              <w:jc w:val="center"/>
              <w:rPr>
                <w:rFonts w:ascii="Times New Roman" w:hAnsi="Times New Roman" w:cs="Times New Roman"/>
                <w:b/>
                <w:color w:val="000000"/>
                <w:sz w:val="20"/>
                <w:szCs w:val="20"/>
                <w:lang w:val="sr-Cyrl-CS"/>
              </w:rPr>
            </w:pPr>
          </w:p>
        </w:tc>
        <w:tc>
          <w:tcPr>
            <w:tcW w:w="2270" w:type="dxa"/>
            <w:vAlign w:val="center"/>
          </w:tcPr>
          <w:p w:rsidR="000B0583" w:rsidRPr="0079576E" w:rsidRDefault="000B0583" w:rsidP="006C5FBB">
            <w:pPr>
              <w:jc w:val="center"/>
              <w:rPr>
                <w:rFonts w:ascii="Times New Roman" w:hAnsi="Times New Roman" w:cs="Times New Roman"/>
                <w:b/>
                <w:color w:val="000000"/>
                <w:sz w:val="20"/>
                <w:szCs w:val="20"/>
                <w:lang w:val="sr-Cyrl-CS"/>
              </w:rPr>
            </w:pPr>
          </w:p>
        </w:tc>
        <w:tc>
          <w:tcPr>
            <w:tcW w:w="1988" w:type="dxa"/>
            <w:vAlign w:val="center"/>
          </w:tcPr>
          <w:p w:rsidR="000B0583" w:rsidRPr="0079576E" w:rsidRDefault="000B0583" w:rsidP="000B0583">
            <w:pPr>
              <w:jc w:val="right"/>
              <w:rPr>
                <w:rFonts w:ascii="Times New Roman" w:hAnsi="Times New Roman" w:cs="Times New Roman"/>
                <w:b/>
                <w:color w:val="000000"/>
                <w:sz w:val="20"/>
                <w:szCs w:val="20"/>
                <w:lang w:val="sr-Cyrl-CS"/>
              </w:rPr>
            </w:pPr>
            <w:r w:rsidRPr="0079576E">
              <w:rPr>
                <w:rFonts w:ascii="Times New Roman" w:hAnsi="Times New Roman" w:cs="Times New Roman"/>
                <w:b/>
                <w:color w:val="000000"/>
                <w:sz w:val="20"/>
                <w:szCs w:val="20"/>
                <w:lang w:val="sr-Cyrl-CS"/>
              </w:rPr>
              <w:t>6.917.620,00</w:t>
            </w:r>
          </w:p>
        </w:tc>
      </w:tr>
    </w:tbl>
    <w:p w:rsidR="000B0583" w:rsidRDefault="000B0583" w:rsidP="000B0583">
      <w:pPr>
        <w:spacing w:before="120" w:after="120"/>
        <w:jc w:val="both"/>
        <w:rPr>
          <w:rFonts w:ascii="Times New Roman" w:hAnsi="Times New Roman"/>
          <w:b/>
          <w:color w:val="000000"/>
          <w:lang w:val="sr-Cyrl-CS"/>
        </w:rPr>
      </w:pPr>
    </w:p>
    <w:p w:rsidR="000B0583" w:rsidRPr="001121EE" w:rsidRDefault="000B0583" w:rsidP="000B0583">
      <w:pPr>
        <w:spacing w:before="120" w:after="120"/>
        <w:jc w:val="both"/>
        <w:rPr>
          <w:rFonts w:ascii="Times New Roman" w:hAnsi="Times New Roman"/>
          <w:b/>
          <w:color w:val="000000"/>
          <w:lang w:val="sr-Latn-RS"/>
        </w:rPr>
      </w:pPr>
      <w:r w:rsidRPr="004E6F3B">
        <w:rPr>
          <w:rFonts w:ascii="Times New Roman" w:hAnsi="Times New Roman"/>
          <w:b/>
          <w:color w:val="000000"/>
          <w:lang w:val="sr-Cyrl-CS"/>
        </w:rPr>
        <w:t>УКУПНА ИМОВИНА ЗА РАСПОДЕЛУ ПОВЕРИОЦИМА (</w:t>
      </w:r>
      <w:r w:rsidRPr="004E6F3B">
        <w:rPr>
          <w:rFonts w:ascii="Times New Roman" w:hAnsi="Times New Roman"/>
          <w:b/>
          <w:color w:val="000000"/>
          <w:lang w:val="sr-Latn-CS"/>
        </w:rPr>
        <w:t>I+II+III</w:t>
      </w:r>
      <w:r w:rsidRPr="00CC61A6">
        <w:rPr>
          <w:rFonts w:ascii="Times New Roman" w:hAnsi="Times New Roman"/>
          <w:b/>
          <w:color w:val="000000"/>
          <w:lang w:val="sr-Latn-CS"/>
        </w:rPr>
        <w:t xml:space="preserve">)             </w:t>
      </w:r>
      <w:r w:rsidR="00C7674E">
        <w:rPr>
          <w:rFonts w:ascii="Times New Roman" w:hAnsi="Times New Roman"/>
          <w:b/>
          <w:color w:val="000000"/>
          <w:lang w:val="sr-Latn-CS"/>
        </w:rPr>
        <w:t xml:space="preserve">   </w:t>
      </w:r>
      <w:r w:rsidR="001121EE">
        <w:rPr>
          <w:rFonts w:ascii="Times New Roman" w:hAnsi="Times New Roman"/>
          <w:b/>
          <w:color w:val="000000"/>
          <w:lang w:val="sr-Latn-RS"/>
        </w:rPr>
        <w:t>33.703.432,97</w:t>
      </w:r>
    </w:p>
    <w:p w:rsidR="00CF183A" w:rsidRDefault="00CF183A" w:rsidP="004D1650">
      <w:pPr>
        <w:spacing w:after="0" w:line="240" w:lineRule="auto"/>
        <w:jc w:val="both"/>
        <w:rPr>
          <w:rFonts w:ascii="Times New Roman" w:eastAsia="Times New Roman" w:hAnsi="Times New Roman" w:cs="Times New Roman"/>
          <w:lang w:eastAsia="sr-Latn-RS"/>
        </w:rPr>
      </w:pPr>
    </w:p>
    <w:p w:rsidR="00275385" w:rsidRDefault="00275385" w:rsidP="004D1650">
      <w:pPr>
        <w:spacing w:after="0" w:line="240" w:lineRule="auto"/>
        <w:jc w:val="both"/>
        <w:rPr>
          <w:rFonts w:ascii="Times New Roman" w:eastAsia="Times New Roman" w:hAnsi="Times New Roman" w:cs="Times New Roman"/>
          <w:lang w:eastAsia="sr-Latn-RS"/>
        </w:rPr>
      </w:pPr>
    </w:p>
    <w:p w:rsidR="003A5BB2" w:rsidRDefault="00EB2C85" w:rsidP="004D1650">
      <w:p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lastRenderedPageBreak/>
        <w:t xml:space="preserve">Да би </w:t>
      </w:r>
      <w:r w:rsidR="003F08B8">
        <w:rPr>
          <w:rFonts w:ascii="Times New Roman" w:eastAsia="Times New Roman" w:hAnsi="Times New Roman" w:cs="Times New Roman"/>
          <w:lang w:val="sr-Cyrl-RS" w:eastAsia="sr-Latn-RS"/>
        </w:rPr>
        <w:t>се неуновчена имовина расподелила</w:t>
      </w:r>
      <w:r>
        <w:rPr>
          <w:rFonts w:ascii="Times New Roman" w:eastAsia="Times New Roman" w:hAnsi="Times New Roman" w:cs="Times New Roman"/>
          <w:lang w:val="sr-Cyrl-RS" w:eastAsia="sr-Latn-RS"/>
        </w:rPr>
        <w:t xml:space="preserve"> повериоцима, стечајни управник је морао да изврши:</w:t>
      </w:r>
    </w:p>
    <w:p w:rsidR="00EB2C85" w:rsidRDefault="00EB2C85" w:rsidP="004D1650">
      <w:pPr>
        <w:spacing w:after="0" w:line="240" w:lineRule="auto"/>
        <w:jc w:val="both"/>
        <w:rPr>
          <w:rFonts w:ascii="Times New Roman" w:eastAsia="Times New Roman" w:hAnsi="Times New Roman" w:cs="Times New Roman"/>
          <w:lang w:val="sr-Cyrl-RS" w:eastAsia="sr-Latn-RS"/>
        </w:rPr>
      </w:pPr>
    </w:p>
    <w:p w:rsidR="00EB2C85" w:rsidRDefault="00EB2C85" w:rsidP="00EB2C85">
      <w:pPr>
        <w:pStyle w:val="ListParagraph"/>
        <w:numPr>
          <w:ilvl w:val="0"/>
          <w:numId w:val="20"/>
        </w:numPr>
        <w:spacing w:after="0" w:line="240" w:lineRule="auto"/>
        <w:jc w:val="both"/>
        <w:rPr>
          <w:rFonts w:ascii="Times New Roman" w:eastAsia="Times New Roman" w:hAnsi="Times New Roman" w:cs="Times New Roman"/>
          <w:lang w:val="sr-Cyrl-RS" w:eastAsia="sr-Latn-RS"/>
        </w:rPr>
      </w:pPr>
      <w:r w:rsidRPr="00EB2C85">
        <w:rPr>
          <w:rFonts w:ascii="Times New Roman" w:eastAsia="Times New Roman" w:hAnsi="Times New Roman" w:cs="Times New Roman"/>
          <w:lang w:val="sr-Cyrl-RS" w:eastAsia="sr-Latn-RS"/>
        </w:rPr>
        <w:t>Обрачун процента учешћа пов</w:t>
      </w:r>
      <w:r w:rsidR="00330757">
        <w:rPr>
          <w:rFonts w:ascii="Times New Roman" w:eastAsia="Times New Roman" w:hAnsi="Times New Roman" w:cs="Times New Roman"/>
          <w:lang w:val="sr-Cyrl-RS" w:eastAsia="sr-Latn-RS"/>
        </w:rPr>
        <w:t>е</w:t>
      </w:r>
      <w:r w:rsidRPr="00EB2C85">
        <w:rPr>
          <w:rFonts w:ascii="Times New Roman" w:eastAsia="Times New Roman" w:hAnsi="Times New Roman" w:cs="Times New Roman"/>
          <w:lang w:val="sr-Cyrl-RS" w:eastAsia="sr-Latn-RS"/>
        </w:rPr>
        <w:t>рилаца првог исплатног реда у износу потраживања на основу неотплаћених рата за откуп станова</w:t>
      </w:r>
      <w:r w:rsidR="001F1456">
        <w:rPr>
          <w:rFonts w:ascii="Times New Roman" w:eastAsia="Times New Roman" w:hAnsi="Times New Roman" w:cs="Times New Roman"/>
          <w:lang w:val="sr-Cyrl-RS" w:eastAsia="sr-Latn-RS"/>
        </w:rPr>
        <w:t>;</w:t>
      </w:r>
    </w:p>
    <w:p w:rsidR="00EB2C85" w:rsidRDefault="00EB2C85" w:rsidP="00EB2C85">
      <w:pPr>
        <w:pStyle w:val="ListParagraph"/>
        <w:numPr>
          <w:ilvl w:val="0"/>
          <w:numId w:val="20"/>
        </w:numPr>
        <w:spacing w:after="0" w:line="240" w:lineRule="auto"/>
        <w:jc w:val="both"/>
        <w:rPr>
          <w:rFonts w:ascii="Times New Roman" w:eastAsia="Times New Roman" w:hAnsi="Times New Roman" w:cs="Times New Roman"/>
          <w:lang w:val="sr-Cyrl-RS" w:eastAsia="sr-Latn-RS"/>
        </w:rPr>
      </w:pPr>
      <w:r w:rsidRPr="00EB2C85">
        <w:rPr>
          <w:rFonts w:ascii="Times New Roman" w:eastAsia="Times New Roman" w:hAnsi="Times New Roman" w:cs="Times New Roman"/>
          <w:lang w:val="sr-Cyrl-RS" w:eastAsia="sr-Latn-RS"/>
        </w:rPr>
        <w:t>Обрачун процента уче</w:t>
      </w:r>
      <w:r>
        <w:rPr>
          <w:rFonts w:ascii="Times New Roman" w:eastAsia="Times New Roman" w:hAnsi="Times New Roman" w:cs="Times New Roman"/>
          <w:lang w:val="sr-Cyrl-RS" w:eastAsia="sr-Latn-RS"/>
        </w:rPr>
        <w:t>шћа пов</w:t>
      </w:r>
      <w:r w:rsidR="00330757">
        <w:rPr>
          <w:rFonts w:ascii="Times New Roman" w:eastAsia="Times New Roman" w:hAnsi="Times New Roman" w:cs="Times New Roman"/>
          <w:lang w:val="sr-Cyrl-RS" w:eastAsia="sr-Latn-RS"/>
        </w:rPr>
        <w:t>е</w:t>
      </w:r>
      <w:r>
        <w:rPr>
          <w:rFonts w:ascii="Times New Roman" w:eastAsia="Times New Roman" w:hAnsi="Times New Roman" w:cs="Times New Roman"/>
          <w:lang w:val="sr-Cyrl-RS" w:eastAsia="sr-Latn-RS"/>
        </w:rPr>
        <w:t>рилаца другог</w:t>
      </w:r>
      <w:r w:rsidRPr="00EB2C85">
        <w:rPr>
          <w:rFonts w:ascii="Times New Roman" w:eastAsia="Times New Roman" w:hAnsi="Times New Roman" w:cs="Times New Roman"/>
          <w:lang w:val="sr-Cyrl-RS" w:eastAsia="sr-Latn-RS"/>
        </w:rPr>
        <w:t xml:space="preserve"> исплатног реда у износу потраживања на основу неотплаћених рата за откуп станов</w:t>
      </w:r>
      <w:r>
        <w:rPr>
          <w:rFonts w:ascii="Times New Roman" w:eastAsia="Times New Roman" w:hAnsi="Times New Roman" w:cs="Times New Roman"/>
          <w:lang w:val="sr-Cyrl-RS" w:eastAsia="sr-Latn-RS"/>
        </w:rPr>
        <w:t>а</w:t>
      </w:r>
      <w:r w:rsidR="001F1456">
        <w:rPr>
          <w:rFonts w:ascii="Times New Roman" w:eastAsia="Times New Roman" w:hAnsi="Times New Roman" w:cs="Times New Roman"/>
          <w:lang w:val="sr-Cyrl-RS" w:eastAsia="sr-Latn-RS"/>
        </w:rPr>
        <w:t>;</w:t>
      </w:r>
    </w:p>
    <w:p w:rsidR="00EB2C85" w:rsidRDefault="00EB2C85" w:rsidP="00EB2C85">
      <w:pPr>
        <w:pStyle w:val="ListParagraph"/>
        <w:numPr>
          <w:ilvl w:val="0"/>
          <w:numId w:val="20"/>
        </w:numPr>
        <w:spacing w:after="0" w:line="240" w:lineRule="auto"/>
        <w:jc w:val="both"/>
        <w:rPr>
          <w:rFonts w:ascii="Times New Roman" w:eastAsia="Times New Roman" w:hAnsi="Times New Roman" w:cs="Times New Roman"/>
          <w:lang w:val="sr-Cyrl-RS" w:eastAsia="sr-Latn-RS"/>
        </w:rPr>
      </w:pPr>
      <w:r w:rsidRPr="00EB2C85">
        <w:rPr>
          <w:rFonts w:ascii="Times New Roman" w:eastAsia="Times New Roman" w:hAnsi="Times New Roman" w:cs="Times New Roman"/>
          <w:lang w:val="sr-Cyrl-RS" w:eastAsia="sr-Latn-RS"/>
        </w:rPr>
        <w:t>Обрачун процента уче</w:t>
      </w:r>
      <w:r>
        <w:rPr>
          <w:rFonts w:ascii="Times New Roman" w:eastAsia="Times New Roman" w:hAnsi="Times New Roman" w:cs="Times New Roman"/>
          <w:lang w:val="sr-Cyrl-RS" w:eastAsia="sr-Latn-RS"/>
        </w:rPr>
        <w:t>шћа пов</w:t>
      </w:r>
      <w:r w:rsidR="00330757">
        <w:rPr>
          <w:rFonts w:ascii="Times New Roman" w:eastAsia="Times New Roman" w:hAnsi="Times New Roman" w:cs="Times New Roman"/>
          <w:lang w:val="sr-Cyrl-RS" w:eastAsia="sr-Latn-RS"/>
        </w:rPr>
        <w:t>е</w:t>
      </w:r>
      <w:r>
        <w:rPr>
          <w:rFonts w:ascii="Times New Roman" w:eastAsia="Times New Roman" w:hAnsi="Times New Roman" w:cs="Times New Roman"/>
          <w:lang w:val="sr-Cyrl-RS" w:eastAsia="sr-Latn-RS"/>
        </w:rPr>
        <w:t>рилаца трећег</w:t>
      </w:r>
      <w:r w:rsidRPr="00EB2C85">
        <w:rPr>
          <w:rFonts w:ascii="Times New Roman" w:eastAsia="Times New Roman" w:hAnsi="Times New Roman" w:cs="Times New Roman"/>
          <w:lang w:val="sr-Cyrl-RS" w:eastAsia="sr-Latn-RS"/>
        </w:rPr>
        <w:t xml:space="preserve"> исплатног реда у износу потраживања на основу неотплаћених рата за откуп станов</w:t>
      </w:r>
      <w:r>
        <w:rPr>
          <w:rFonts w:ascii="Times New Roman" w:eastAsia="Times New Roman" w:hAnsi="Times New Roman" w:cs="Times New Roman"/>
          <w:lang w:val="sr-Cyrl-RS" w:eastAsia="sr-Latn-RS"/>
        </w:rPr>
        <w:t>а и по основу извршних поступака пред надлежним судовима</w:t>
      </w:r>
      <w:r w:rsidR="001F1456">
        <w:rPr>
          <w:rFonts w:ascii="Times New Roman" w:eastAsia="Times New Roman" w:hAnsi="Times New Roman" w:cs="Times New Roman"/>
          <w:lang w:val="sr-Cyrl-RS" w:eastAsia="sr-Latn-RS"/>
        </w:rPr>
        <w:t>;</w:t>
      </w:r>
    </w:p>
    <w:p w:rsidR="00EB2C85" w:rsidRDefault="0099027A" w:rsidP="00EB2C85">
      <w:pPr>
        <w:pStyle w:val="ListParagraph"/>
        <w:numPr>
          <w:ilvl w:val="0"/>
          <w:numId w:val="20"/>
        </w:num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Обрачун идеалних делова на становима у својини стечајног дужника који се преносе повериоцима</w:t>
      </w:r>
      <w:r w:rsidR="001F1456">
        <w:rPr>
          <w:rFonts w:ascii="Times New Roman" w:eastAsia="Times New Roman" w:hAnsi="Times New Roman" w:cs="Times New Roman"/>
          <w:lang w:val="sr-Cyrl-RS" w:eastAsia="sr-Latn-RS"/>
        </w:rPr>
        <w:t>;</w:t>
      </w:r>
    </w:p>
    <w:p w:rsidR="00EB2C85" w:rsidRDefault="0099027A" w:rsidP="00EB2C85">
      <w:pPr>
        <w:pStyle w:val="ListParagraph"/>
        <w:numPr>
          <w:ilvl w:val="0"/>
          <w:numId w:val="20"/>
        </w:num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Обрачун намирења поверилаца првог исплатног реда кроз пренос потраживања по основу откупа станова на рате</w:t>
      </w:r>
      <w:r w:rsidR="001F1456">
        <w:rPr>
          <w:rFonts w:ascii="Times New Roman" w:eastAsia="Times New Roman" w:hAnsi="Times New Roman" w:cs="Times New Roman"/>
          <w:lang w:val="sr-Cyrl-RS" w:eastAsia="sr-Latn-RS"/>
        </w:rPr>
        <w:t>;</w:t>
      </w:r>
    </w:p>
    <w:p w:rsidR="0099027A" w:rsidRDefault="0099027A" w:rsidP="0099027A">
      <w:pPr>
        <w:pStyle w:val="ListParagraph"/>
        <w:numPr>
          <w:ilvl w:val="0"/>
          <w:numId w:val="20"/>
        </w:num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Обрачун намирења поверилаца другог исплатног реда кроз пренос потраживања по основу откупа станова на рате</w:t>
      </w:r>
      <w:r w:rsidR="001F1456">
        <w:rPr>
          <w:rFonts w:ascii="Times New Roman" w:eastAsia="Times New Roman" w:hAnsi="Times New Roman" w:cs="Times New Roman"/>
          <w:lang w:val="sr-Cyrl-RS" w:eastAsia="sr-Latn-RS"/>
        </w:rPr>
        <w:t>;</w:t>
      </w:r>
    </w:p>
    <w:p w:rsidR="0099027A" w:rsidRDefault="0099027A" w:rsidP="0099027A">
      <w:pPr>
        <w:pStyle w:val="ListParagraph"/>
        <w:numPr>
          <w:ilvl w:val="0"/>
          <w:numId w:val="20"/>
        </w:numPr>
        <w:spacing w:after="0" w:line="240" w:lineRule="auto"/>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Обрачун намирења поверилаца трећег исплатног реда кроз пренос потраживања по основу извршних поступака пред надлежним судовима, потраживања по основу откупа станова на рате и преноса удела на становима у својини стечајног дужника који се преносе повериоцима</w:t>
      </w:r>
      <w:r w:rsidR="001F1456">
        <w:rPr>
          <w:rFonts w:ascii="Times New Roman" w:eastAsia="Times New Roman" w:hAnsi="Times New Roman" w:cs="Times New Roman"/>
          <w:lang w:val="sr-Cyrl-RS" w:eastAsia="sr-Latn-RS"/>
        </w:rPr>
        <w:t>.</w:t>
      </w:r>
    </w:p>
    <w:p w:rsidR="00B851C9" w:rsidRDefault="00B851C9" w:rsidP="00B851C9">
      <w:pPr>
        <w:spacing w:after="0" w:line="240" w:lineRule="auto"/>
        <w:jc w:val="both"/>
        <w:rPr>
          <w:rFonts w:ascii="Times New Roman" w:eastAsia="Times New Roman" w:hAnsi="Times New Roman" w:cs="Times New Roman"/>
          <w:lang w:val="sr-Cyrl-RS" w:eastAsia="sr-Latn-RS"/>
        </w:rPr>
      </w:pPr>
    </w:p>
    <w:p w:rsidR="00B851C9" w:rsidRDefault="00B851C9" w:rsidP="00B851C9">
      <w:pPr>
        <w:spacing w:after="0" w:line="240" w:lineRule="auto"/>
        <w:jc w:val="both"/>
        <w:rPr>
          <w:rFonts w:ascii="Times New Roman" w:eastAsia="Times New Roman" w:hAnsi="Times New Roman" w:cs="Times New Roman"/>
          <w:lang w:val="sr-Cyrl-RS" w:eastAsia="sr-Latn-RS"/>
        </w:rPr>
      </w:pPr>
    </w:p>
    <w:p w:rsidR="00D340E9" w:rsidRDefault="00D340E9" w:rsidP="002863A5">
      <w:pPr>
        <w:pStyle w:val="NormalWeb"/>
        <w:shd w:val="clear" w:color="auto" w:fill="FFFFFF"/>
        <w:spacing w:before="0" w:beforeAutospacing="0" w:after="0" w:afterAutospacing="0"/>
        <w:rPr>
          <w:sz w:val="22"/>
          <w:szCs w:val="22"/>
          <w:lang w:val="sr-Cyrl-RS"/>
        </w:rPr>
      </w:pPr>
    </w:p>
    <w:p w:rsidR="00856148" w:rsidRDefault="00105E30" w:rsidP="00856148">
      <w:pPr>
        <w:spacing w:after="0" w:line="240" w:lineRule="auto"/>
        <w:jc w:val="both"/>
        <w:rPr>
          <w:rFonts w:ascii="Times New Roman" w:hAnsi="Times New Roman" w:cs="Times New Roman"/>
          <w:lang w:val="sr-Cyrl-RS"/>
        </w:rPr>
      </w:pPr>
      <w:r w:rsidRPr="00856148">
        <w:rPr>
          <w:rFonts w:ascii="Times New Roman" w:hAnsi="Times New Roman" w:cs="Times New Roman"/>
          <w:lang w:val="sr-Cyrl-RS"/>
        </w:rPr>
        <w:t>Када се говори о завршном рачуну стечајног дужника, треба рећи и да с</w:t>
      </w:r>
      <w:r w:rsidRPr="00856148">
        <w:rPr>
          <w:rFonts w:ascii="Times New Roman" w:hAnsi="Times New Roman" w:cs="Times New Roman"/>
        </w:rPr>
        <w:t>течајни управник има право на награду за свој рад и накнаду стварних трошкова</w:t>
      </w:r>
      <w:r w:rsidRPr="00856148">
        <w:rPr>
          <w:rFonts w:ascii="Times New Roman" w:hAnsi="Times New Roman" w:cs="Times New Roman"/>
          <w:lang w:val="sr-Cyrl-RS"/>
        </w:rPr>
        <w:t>, чију к</w:t>
      </w:r>
      <w:r w:rsidRPr="00856148">
        <w:rPr>
          <w:rFonts w:ascii="Times New Roman" w:hAnsi="Times New Roman" w:cs="Times New Roman"/>
        </w:rPr>
        <w:t xml:space="preserve">оначну висину одређује стечајни судија у време закључења стечајног поступка, </w:t>
      </w:r>
      <w:r w:rsidR="00FB00F0" w:rsidRPr="00856148">
        <w:rPr>
          <w:rFonts w:ascii="Times New Roman" w:hAnsi="Times New Roman" w:cs="Times New Roman"/>
          <w:lang w:val="sr-Cyrl-RS"/>
        </w:rPr>
        <w:t xml:space="preserve">а </w:t>
      </w:r>
      <w:r w:rsidRPr="00856148">
        <w:rPr>
          <w:rFonts w:ascii="Times New Roman" w:hAnsi="Times New Roman" w:cs="Times New Roman"/>
        </w:rPr>
        <w:t>у складу са основама и мерилима за одређивање висине награде и накнаде трошкова</w:t>
      </w:r>
      <w:r w:rsidR="00FB00F0" w:rsidRPr="00856148">
        <w:rPr>
          <w:rFonts w:ascii="Times New Roman" w:hAnsi="Times New Roman" w:cs="Times New Roman"/>
          <w:lang w:val="sr-Cyrl-RS"/>
        </w:rPr>
        <w:t xml:space="preserve">  (</w:t>
      </w:r>
      <w:r w:rsidR="00FB00F0" w:rsidRPr="00856148">
        <w:rPr>
          <w:rFonts w:ascii="Times New Roman" w:eastAsia="Times New Roman" w:hAnsi="Times New Roman" w:cs="Times New Roman"/>
          <w:kern w:val="36"/>
          <w:lang w:val="sr-Cyrl-RS"/>
        </w:rPr>
        <w:t>П</w:t>
      </w:r>
      <w:r w:rsidR="00FB00F0" w:rsidRPr="00856148">
        <w:rPr>
          <w:rFonts w:ascii="Times New Roman" w:eastAsia="Times New Roman" w:hAnsi="Times New Roman" w:cs="Times New Roman"/>
          <w:kern w:val="36"/>
        </w:rPr>
        <w:t>равилник о основама и мерилима за одређивање награде за рад и накнаде трошкова стечајних управника</w:t>
      </w:r>
      <w:r w:rsidR="00FB00F0" w:rsidRPr="00856148">
        <w:rPr>
          <w:rFonts w:ascii="Times New Roman" w:eastAsia="Times New Roman" w:hAnsi="Times New Roman" w:cs="Times New Roman"/>
          <w:caps/>
          <w:kern w:val="36"/>
          <w:lang w:val="sr-Cyrl-RS"/>
        </w:rPr>
        <w:t>).</w:t>
      </w:r>
      <w:r w:rsidR="00856148">
        <w:rPr>
          <w:rFonts w:ascii="Times New Roman" w:eastAsia="Times New Roman" w:hAnsi="Times New Roman" w:cs="Times New Roman"/>
          <w:b/>
          <w:caps/>
          <w:kern w:val="36"/>
          <w:lang w:val="sr-Cyrl-RS"/>
        </w:rPr>
        <w:t xml:space="preserve"> </w:t>
      </w:r>
      <w:r w:rsidR="00856148">
        <w:rPr>
          <w:rFonts w:ascii="Times New Roman" w:hAnsi="Times New Roman" w:cs="Times New Roman"/>
          <w:lang w:val="sr-Cyrl-RS"/>
        </w:rPr>
        <w:t>Н</w:t>
      </w:r>
      <w:r w:rsidR="00856148">
        <w:rPr>
          <w:rFonts w:ascii="Times New Roman" w:hAnsi="Times New Roman" w:cs="Times New Roman"/>
        </w:rPr>
        <w:t>аграђивањ</w:t>
      </w:r>
      <w:r w:rsidR="00856148">
        <w:rPr>
          <w:rFonts w:ascii="Times New Roman" w:hAnsi="Times New Roman" w:cs="Times New Roman"/>
          <w:lang w:val="sr-Cyrl-RS"/>
        </w:rPr>
        <w:t>е у стечајном поступку</w:t>
      </w:r>
      <w:r w:rsidR="00856148">
        <w:rPr>
          <w:rFonts w:ascii="Times New Roman" w:hAnsi="Times New Roman" w:cs="Times New Roman"/>
        </w:rPr>
        <w:t xml:space="preserve"> мора бити правич</w:t>
      </w:r>
      <w:r w:rsidR="00856148" w:rsidRPr="00856148">
        <w:rPr>
          <w:rFonts w:ascii="Times New Roman" w:hAnsi="Times New Roman" w:cs="Times New Roman"/>
        </w:rPr>
        <w:t>н</w:t>
      </w:r>
      <w:r w:rsidR="00856148">
        <w:rPr>
          <w:rFonts w:ascii="Times New Roman" w:hAnsi="Times New Roman" w:cs="Times New Roman"/>
          <w:lang w:val="sr-Cyrl-RS"/>
        </w:rPr>
        <w:t xml:space="preserve">о, </w:t>
      </w:r>
      <w:r w:rsidR="00856148">
        <w:rPr>
          <w:rFonts w:ascii="Times New Roman" w:hAnsi="Times New Roman" w:cs="Times New Roman"/>
        </w:rPr>
        <w:t>подстицај</w:t>
      </w:r>
      <w:r w:rsidR="00856148" w:rsidRPr="00856148">
        <w:rPr>
          <w:rFonts w:ascii="Times New Roman" w:hAnsi="Times New Roman" w:cs="Times New Roman"/>
        </w:rPr>
        <w:t>н</w:t>
      </w:r>
      <w:r w:rsidR="00856148">
        <w:rPr>
          <w:rFonts w:ascii="Times New Roman" w:hAnsi="Times New Roman" w:cs="Times New Roman"/>
          <w:lang w:val="sr-Cyrl-RS"/>
        </w:rPr>
        <w:t>о</w:t>
      </w:r>
      <w:r w:rsidR="00856148">
        <w:rPr>
          <w:rFonts w:ascii="Times New Roman" w:hAnsi="Times New Roman" w:cs="Times New Roman"/>
        </w:rPr>
        <w:t>, али и флексибил</w:t>
      </w:r>
      <w:r w:rsidR="00856148" w:rsidRPr="00856148">
        <w:rPr>
          <w:rFonts w:ascii="Times New Roman" w:hAnsi="Times New Roman" w:cs="Times New Roman"/>
        </w:rPr>
        <w:t>н</w:t>
      </w:r>
      <w:r w:rsidR="00856148">
        <w:rPr>
          <w:rFonts w:ascii="Times New Roman" w:hAnsi="Times New Roman" w:cs="Times New Roman"/>
          <w:lang w:val="sr-Cyrl-RS"/>
        </w:rPr>
        <w:t>о</w:t>
      </w:r>
      <w:r w:rsidR="00856148" w:rsidRPr="00856148">
        <w:rPr>
          <w:rFonts w:ascii="Times New Roman" w:hAnsi="Times New Roman" w:cs="Times New Roman"/>
        </w:rPr>
        <w:t>, тако да</w:t>
      </w:r>
      <w:r w:rsidR="00856148">
        <w:rPr>
          <w:rFonts w:ascii="Times New Roman" w:hAnsi="Times New Roman" w:cs="Times New Roman"/>
        </w:rPr>
        <w:t xml:space="preserve"> га је могуће применити у </w:t>
      </w:r>
      <w:r w:rsidR="00856148" w:rsidRPr="00856148">
        <w:rPr>
          <w:rFonts w:ascii="Times New Roman" w:hAnsi="Times New Roman" w:cs="Times New Roman"/>
        </w:rPr>
        <w:t>различитим околностима – у случају банкротства или реор</w:t>
      </w:r>
      <w:r w:rsidR="00856148">
        <w:rPr>
          <w:rFonts w:ascii="Times New Roman" w:hAnsi="Times New Roman" w:cs="Times New Roman"/>
        </w:rPr>
        <w:t xml:space="preserve">ганизације, </w:t>
      </w:r>
      <w:r w:rsidR="00856148">
        <w:rPr>
          <w:rFonts w:ascii="Times New Roman" w:hAnsi="Times New Roman" w:cs="Times New Roman"/>
          <w:lang w:val="sr-Cyrl-RS"/>
        </w:rPr>
        <w:t xml:space="preserve">код стечајних дужника </w:t>
      </w:r>
      <w:r w:rsidR="00856148" w:rsidRPr="00856148">
        <w:rPr>
          <w:rFonts w:ascii="Times New Roman" w:hAnsi="Times New Roman" w:cs="Times New Roman"/>
        </w:rPr>
        <w:t>различ</w:t>
      </w:r>
      <w:r w:rsidR="00856148">
        <w:rPr>
          <w:rFonts w:ascii="Times New Roman" w:hAnsi="Times New Roman" w:cs="Times New Roman"/>
        </w:rPr>
        <w:t>ите величине, али и у специфичним околностима</w:t>
      </w:r>
      <w:r w:rsidR="00856148">
        <w:rPr>
          <w:rFonts w:ascii="Times New Roman" w:hAnsi="Times New Roman" w:cs="Times New Roman"/>
          <w:lang w:val="sr-Cyrl-RS"/>
        </w:rPr>
        <w:t xml:space="preserve"> (</w:t>
      </w:r>
      <w:r w:rsidR="00856148" w:rsidRPr="00856148">
        <w:rPr>
          <w:rFonts w:ascii="Times New Roman" w:hAnsi="Times New Roman" w:cs="Times New Roman"/>
        </w:rPr>
        <w:t>нпр. приликом промене стечајног управника</w:t>
      </w:r>
      <w:r w:rsidR="00856148">
        <w:rPr>
          <w:rFonts w:ascii="Times New Roman" w:hAnsi="Times New Roman" w:cs="Times New Roman"/>
          <w:lang w:val="sr-Cyrl-RS"/>
        </w:rPr>
        <w:t>)</w:t>
      </w:r>
      <w:r w:rsidR="00856148" w:rsidRPr="00856148">
        <w:rPr>
          <w:rFonts w:ascii="Times New Roman" w:hAnsi="Times New Roman" w:cs="Times New Roman"/>
        </w:rPr>
        <w:t xml:space="preserve">. </w:t>
      </w:r>
    </w:p>
    <w:p w:rsidR="00FB00F0" w:rsidRPr="00FB00F0" w:rsidRDefault="00FB00F0" w:rsidP="00FB00F0">
      <w:pPr>
        <w:pStyle w:val="Heading1"/>
        <w:shd w:val="clear" w:color="auto" w:fill="FFFFFF"/>
        <w:spacing w:before="0" w:line="240" w:lineRule="auto"/>
        <w:jc w:val="both"/>
        <w:rPr>
          <w:rFonts w:ascii="Times New Roman" w:eastAsia="Times New Roman" w:hAnsi="Times New Roman" w:cs="Times New Roman"/>
          <w:b w:val="0"/>
          <w:caps/>
          <w:color w:val="auto"/>
          <w:kern w:val="36"/>
          <w:sz w:val="33"/>
          <w:szCs w:val="33"/>
          <w:lang w:val="sr-Cyrl-RS"/>
        </w:rPr>
      </w:pPr>
    </w:p>
    <w:p w:rsidR="002863A5" w:rsidRDefault="00BA6E3B" w:rsidP="00F02427">
      <w:pPr>
        <w:pStyle w:val="NormalWeb"/>
        <w:shd w:val="clear" w:color="auto" w:fill="FFFFFF"/>
        <w:spacing w:before="0" w:beforeAutospacing="0" w:after="0" w:afterAutospacing="0"/>
        <w:jc w:val="both"/>
        <w:rPr>
          <w:sz w:val="22"/>
          <w:szCs w:val="22"/>
          <w:lang w:val="sr-Cyrl-RS"/>
        </w:rPr>
      </w:pPr>
      <w:r>
        <w:rPr>
          <w:sz w:val="22"/>
          <w:szCs w:val="22"/>
          <w:lang w:val="sr-Cyrl-RS"/>
        </w:rPr>
        <w:t xml:space="preserve">Правилником </w:t>
      </w:r>
      <w:r w:rsidR="00856148" w:rsidRPr="00856148">
        <w:rPr>
          <w:kern w:val="36"/>
          <w:sz w:val="22"/>
          <w:szCs w:val="22"/>
        </w:rPr>
        <w:t>о основама и мерилима за одређивање награде за рад и накнаде трошкова стечајних управника</w:t>
      </w:r>
      <w:r w:rsidR="00856148">
        <w:rPr>
          <w:sz w:val="22"/>
          <w:szCs w:val="22"/>
          <w:lang w:val="sr-Cyrl-RS"/>
        </w:rPr>
        <w:t xml:space="preserve"> </w:t>
      </w:r>
      <w:r>
        <w:rPr>
          <w:sz w:val="22"/>
          <w:szCs w:val="22"/>
          <w:lang w:val="sr-Cyrl-RS"/>
        </w:rPr>
        <w:t xml:space="preserve">је прописано да у случају банкротства стечајни судија може одредити и увећану награду </w:t>
      </w:r>
      <w:r w:rsidR="002863A5" w:rsidRPr="002863A5">
        <w:rPr>
          <w:sz w:val="22"/>
          <w:szCs w:val="22"/>
        </w:rPr>
        <w:t>по основу:</w:t>
      </w:r>
    </w:p>
    <w:p w:rsidR="009C3677" w:rsidRPr="009C3677" w:rsidRDefault="009C3677" w:rsidP="00F02427">
      <w:pPr>
        <w:pStyle w:val="NormalWeb"/>
        <w:shd w:val="clear" w:color="auto" w:fill="FFFFFF"/>
        <w:spacing w:before="0" w:beforeAutospacing="0" w:after="0" w:afterAutospacing="0"/>
        <w:jc w:val="both"/>
        <w:rPr>
          <w:sz w:val="22"/>
          <w:szCs w:val="22"/>
          <w:lang w:val="sr-Cyrl-RS"/>
        </w:rPr>
      </w:pPr>
    </w:p>
    <w:p w:rsidR="002863A5" w:rsidRPr="002863A5" w:rsidRDefault="002863A5" w:rsidP="002863A5">
      <w:pPr>
        <w:pStyle w:val="NormalWeb"/>
        <w:shd w:val="clear" w:color="auto" w:fill="FFFFFF"/>
        <w:spacing w:before="0" w:beforeAutospacing="0" w:after="0" w:afterAutospacing="0"/>
        <w:rPr>
          <w:sz w:val="22"/>
          <w:szCs w:val="22"/>
        </w:rPr>
      </w:pPr>
      <w:r w:rsidRPr="002863A5">
        <w:rPr>
          <w:sz w:val="22"/>
          <w:szCs w:val="22"/>
        </w:rPr>
        <w:t>1) сложености стечајног поступка;</w:t>
      </w:r>
    </w:p>
    <w:p w:rsidR="002863A5" w:rsidRPr="002863A5" w:rsidRDefault="002863A5" w:rsidP="002863A5">
      <w:pPr>
        <w:pStyle w:val="NormalWeb"/>
        <w:shd w:val="clear" w:color="auto" w:fill="FFFFFF"/>
        <w:spacing w:before="0" w:beforeAutospacing="0" w:after="0" w:afterAutospacing="0"/>
        <w:rPr>
          <w:sz w:val="22"/>
          <w:szCs w:val="22"/>
        </w:rPr>
      </w:pPr>
      <w:r w:rsidRPr="002863A5">
        <w:rPr>
          <w:sz w:val="22"/>
          <w:szCs w:val="22"/>
        </w:rPr>
        <w:t>2) трајања стечајног поступка;</w:t>
      </w:r>
    </w:p>
    <w:p w:rsidR="002863A5" w:rsidRPr="002863A5" w:rsidRDefault="002863A5" w:rsidP="002863A5">
      <w:pPr>
        <w:pStyle w:val="NormalWeb"/>
        <w:shd w:val="clear" w:color="auto" w:fill="FFFFFF"/>
        <w:spacing w:before="0" w:beforeAutospacing="0" w:after="0" w:afterAutospacing="0"/>
        <w:rPr>
          <w:sz w:val="22"/>
          <w:szCs w:val="22"/>
        </w:rPr>
      </w:pPr>
      <w:r w:rsidRPr="002863A5">
        <w:rPr>
          <w:sz w:val="22"/>
          <w:szCs w:val="22"/>
        </w:rPr>
        <w:t>3) степену намирења стечајних поверилаца.</w:t>
      </w:r>
    </w:p>
    <w:p w:rsidR="00121548" w:rsidRDefault="00121548" w:rsidP="004D1650">
      <w:pPr>
        <w:spacing w:after="0" w:line="240" w:lineRule="auto"/>
        <w:jc w:val="both"/>
        <w:rPr>
          <w:rFonts w:ascii="Times New Roman" w:eastAsia="Times New Roman" w:hAnsi="Times New Roman" w:cs="Times New Roman"/>
          <w:lang w:val="sr-Cyrl-RS" w:eastAsia="sr-Latn-RS"/>
        </w:rPr>
      </w:pPr>
    </w:p>
    <w:p w:rsidR="004D1650" w:rsidRPr="005C0034" w:rsidRDefault="00823D93" w:rsidP="004D1650">
      <w:pPr>
        <w:spacing w:after="0" w:line="240" w:lineRule="auto"/>
        <w:jc w:val="both"/>
        <w:rPr>
          <w:rFonts w:ascii="Times New Roman" w:eastAsia="Times New Roman" w:hAnsi="Times New Roman" w:cs="Times New Roman"/>
          <w:sz w:val="27"/>
          <w:szCs w:val="27"/>
          <w:lang w:eastAsia="sr-Latn-RS"/>
        </w:rPr>
      </w:pPr>
      <w:r>
        <w:rPr>
          <w:rFonts w:ascii="Times New Roman" w:eastAsia="Times New Roman" w:hAnsi="Times New Roman" w:cs="Times New Roman"/>
          <w:lang w:val="sr-Cyrl-RS" w:eastAsia="sr-Latn-RS"/>
        </w:rPr>
        <w:t>Овакав с</w:t>
      </w:r>
      <w:r w:rsidR="004D1650" w:rsidRPr="004D1650">
        <w:rPr>
          <w:rFonts w:ascii="Times New Roman" w:eastAsia="Times New Roman" w:hAnsi="Times New Roman" w:cs="Times New Roman"/>
          <w:lang w:eastAsia="sr-Latn-RS"/>
        </w:rPr>
        <w:t xml:space="preserve">истем </w:t>
      </w:r>
      <w:r>
        <w:rPr>
          <w:rFonts w:ascii="Times New Roman" w:eastAsia="Times New Roman" w:hAnsi="Times New Roman" w:cs="Times New Roman"/>
          <w:lang w:val="sr-Cyrl-RS" w:eastAsia="sr-Latn-RS"/>
        </w:rPr>
        <w:t xml:space="preserve">награђивања </w:t>
      </w:r>
      <w:r w:rsidR="004D1650" w:rsidRPr="004D1650">
        <w:rPr>
          <w:rFonts w:ascii="Times New Roman" w:eastAsia="Times New Roman" w:hAnsi="Times New Roman" w:cs="Times New Roman"/>
          <w:lang w:eastAsia="sr-Latn-RS"/>
        </w:rPr>
        <w:t>и</w:t>
      </w:r>
      <w:r w:rsidR="002A2254">
        <w:rPr>
          <w:rFonts w:ascii="Times New Roman" w:eastAsia="Times New Roman" w:hAnsi="Times New Roman" w:cs="Times New Roman"/>
          <w:lang w:eastAsia="sr-Latn-RS"/>
        </w:rPr>
        <w:t>ма предности</w:t>
      </w:r>
      <w:r w:rsidR="002A2254">
        <w:rPr>
          <w:rFonts w:ascii="Times New Roman" w:eastAsia="Times New Roman" w:hAnsi="Times New Roman" w:cs="Times New Roman"/>
          <w:lang w:val="sr-Cyrl-RS" w:eastAsia="sr-Latn-RS"/>
        </w:rPr>
        <w:t xml:space="preserve">, јер </w:t>
      </w:r>
      <w:r w:rsidR="002A2254">
        <w:rPr>
          <w:rFonts w:ascii="Times New Roman" w:eastAsia="Times New Roman" w:hAnsi="Times New Roman" w:cs="Times New Roman"/>
          <w:lang w:eastAsia="sr-Latn-RS"/>
        </w:rPr>
        <w:t xml:space="preserve"> </w:t>
      </w:r>
      <w:r w:rsidR="002A2254">
        <w:rPr>
          <w:rFonts w:ascii="Times New Roman" w:eastAsia="Times New Roman" w:hAnsi="Times New Roman" w:cs="Times New Roman"/>
          <w:lang w:val="sr-Cyrl-RS" w:eastAsia="sr-Latn-RS"/>
        </w:rPr>
        <w:t>п</w:t>
      </w:r>
      <w:r w:rsidR="00CB0332">
        <w:rPr>
          <w:rFonts w:ascii="Times New Roman" w:eastAsia="Times New Roman" w:hAnsi="Times New Roman" w:cs="Times New Roman"/>
          <w:lang w:eastAsia="sr-Latn-RS"/>
        </w:rPr>
        <w:t>оред ре</w:t>
      </w:r>
      <w:r w:rsidR="004D1650" w:rsidRPr="004D1650">
        <w:rPr>
          <w:rFonts w:ascii="Times New Roman" w:eastAsia="Times New Roman" w:hAnsi="Times New Roman" w:cs="Times New Roman"/>
          <w:lang w:eastAsia="sr-Latn-RS"/>
        </w:rPr>
        <w:t xml:space="preserve">лативне једноставности, везивање награде </w:t>
      </w:r>
      <w:r>
        <w:rPr>
          <w:rFonts w:ascii="Times New Roman" w:eastAsia="Times New Roman" w:hAnsi="Times New Roman" w:cs="Times New Roman"/>
          <w:lang w:eastAsia="sr-Latn-RS"/>
        </w:rPr>
        <w:t xml:space="preserve">за </w:t>
      </w:r>
      <w:r>
        <w:rPr>
          <w:rFonts w:ascii="Times New Roman" w:eastAsia="Times New Roman" w:hAnsi="Times New Roman" w:cs="Times New Roman"/>
          <w:lang w:val="sr-Cyrl-RS" w:eastAsia="sr-Latn-RS"/>
        </w:rPr>
        <w:t xml:space="preserve">сложеност и трајање стечајног поступка, а нарочито за степен намирења поверилаца, </w:t>
      </w:r>
      <w:r w:rsidR="00CB0332">
        <w:rPr>
          <w:rFonts w:ascii="Times New Roman" w:eastAsia="Times New Roman" w:hAnsi="Times New Roman" w:cs="Times New Roman"/>
          <w:lang w:eastAsia="sr-Latn-RS"/>
        </w:rPr>
        <w:t>мотивише управни</w:t>
      </w:r>
      <w:r w:rsidR="004D1650" w:rsidRPr="004D1650">
        <w:rPr>
          <w:rFonts w:ascii="Times New Roman" w:eastAsia="Times New Roman" w:hAnsi="Times New Roman" w:cs="Times New Roman"/>
          <w:lang w:eastAsia="sr-Latn-RS"/>
        </w:rPr>
        <w:t>ка да што је више могуће увећа вредност стечајне масе</w:t>
      </w:r>
      <w:r>
        <w:rPr>
          <w:rFonts w:ascii="Times New Roman" w:eastAsia="Times New Roman" w:hAnsi="Times New Roman" w:cs="Times New Roman"/>
          <w:lang w:val="sr-Cyrl-RS" w:eastAsia="sr-Latn-RS"/>
        </w:rPr>
        <w:t>, убрза закључење стечајног поступка</w:t>
      </w:r>
      <w:r w:rsidR="004D1650" w:rsidRPr="004D1650">
        <w:rPr>
          <w:rFonts w:ascii="Times New Roman" w:eastAsia="Times New Roman" w:hAnsi="Times New Roman" w:cs="Times New Roman"/>
          <w:lang w:eastAsia="sr-Latn-RS"/>
        </w:rPr>
        <w:t xml:space="preserve"> или оствари што виши степен намирења. </w:t>
      </w:r>
    </w:p>
    <w:p w:rsidR="00164D56" w:rsidRPr="00A733F1" w:rsidRDefault="00164D56" w:rsidP="00164D56">
      <w:pPr>
        <w:pStyle w:val="NormalWeb"/>
        <w:spacing w:before="120" w:beforeAutospacing="0" w:after="0" w:afterAutospacing="0"/>
        <w:jc w:val="both"/>
        <w:rPr>
          <w:b/>
          <w:sz w:val="22"/>
          <w:szCs w:val="22"/>
          <w:lang w:val="sr-Cyrl-RS"/>
        </w:rPr>
      </w:pPr>
    </w:p>
    <w:p w:rsidR="00CF3184" w:rsidRPr="00CF3184" w:rsidRDefault="00CF3184" w:rsidP="00760F3E">
      <w:pPr>
        <w:pStyle w:val="NormalWeb"/>
        <w:spacing w:before="120" w:beforeAutospacing="0" w:after="0" w:afterAutospacing="0"/>
        <w:jc w:val="both"/>
        <w:rPr>
          <w:sz w:val="22"/>
          <w:szCs w:val="22"/>
          <w:lang w:val="sr-Cyrl-RS"/>
        </w:rPr>
      </w:pPr>
    </w:p>
    <w:p w:rsidR="005571BE" w:rsidRDefault="005571BE" w:rsidP="00FA50B1">
      <w:pPr>
        <w:autoSpaceDE w:val="0"/>
        <w:autoSpaceDN w:val="0"/>
        <w:adjustRightInd w:val="0"/>
        <w:spacing w:after="0" w:line="240" w:lineRule="auto"/>
        <w:jc w:val="center"/>
        <w:rPr>
          <w:rFonts w:ascii="Times New Roman" w:hAnsi="Times New Roman" w:cs="Times New Roman"/>
          <w:b/>
          <w:color w:val="000000"/>
        </w:rPr>
      </w:pPr>
    </w:p>
    <w:p w:rsidR="00BF2E61" w:rsidRDefault="00BF2E61" w:rsidP="00FA50B1">
      <w:pPr>
        <w:autoSpaceDE w:val="0"/>
        <w:autoSpaceDN w:val="0"/>
        <w:adjustRightInd w:val="0"/>
        <w:spacing w:after="0" w:line="240" w:lineRule="auto"/>
        <w:jc w:val="center"/>
        <w:rPr>
          <w:rFonts w:ascii="Times New Roman" w:hAnsi="Times New Roman" w:cs="Times New Roman"/>
          <w:b/>
          <w:color w:val="000000"/>
        </w:rPr>
      </w:pPr>
    </w:p>
    <w:p w:rsidR="00BF2E61" w:rsidRDefault="00BF2E61" w:rsidP="00FA50B1">
      <w:pPr>
        <w:autoSpaceDE w:val="0"/>
        <w:autoSpaceDN w:val="0"/>
        <w:adjustRightInd w:val="0"/>
        <w:spacing w:after="0" w:line="240" w:lineRule="auto"/>
        <w:jc w:val="center"/>
        <w:rPr>
          <w:rFonts w:ascii="Times New Roman" w:hAnsi="Times New Roman" w:cs="Times New Roman"/>
          <w:b/>
          <w:color w:val="000000"/>
        </w:rPr>
      </w:pPr>
    </w:p>
    <w:p w:rsidR="00BF2E61" w:rsidRDefault="00BF2E61" w:rsidP="00FA50B1">
      <w:pPr>
        <w:autoSpaceDE w:val="0"/>
        <w:autoSpaceDN w:val="0"/>
        <w:adjustRightInd w:val="0"/>
        <w:spacing w:after="0" w:line="240" w:lineRule="auto"/>
        <w:jc w:val="center"/>
        <w:rPr>
          <w:rFonts w:ascii="Times New Roman" w:hAnsi="Times New Roman" w:cs="Times New Roman"/>
          <w:b/>
          <w:color w:val="000000"/>
        </w:rPr>
      </w:pPr>
    </w:p>
    <w:p w:rsidR="00FA50B1" w:rsidRPr="00FA50B1" w:rsidRDefault="00FA50B1" w:rsidP="00FA50B1">
      <w:pPr>
        <w:autoSpaceDE w:val="0"/>
        <w:autoSpaceDN w:val="0"/>
        <w:adjustRightInd w:val="0"/>
        <w:spacing w:after="0" w:line="240" w:lineRule="auto"/>
        <w:jc w:val="center"/>
        <w:rPr>
          <w:rFonts w:ascii="Times New Roman" w:hAnsi="Times New Roman" w:cs="Times New Roman"/>
          <w:b/>
          <w:color w:val="000000"/>
        </w:rPr>
      </w:pPr>
      <w:r w:rsidRPr="00FA50B1">
        <w:rPr>
          <w:rFonts w:ascii="Times New Roman" w:hAnsi="Times New Roman" w:cs="Times New Roman"/>
          <w:b/>
          <w:color w:val="000000"/>
        </w:rPr>
        <w:lastRenderedPageBreak/>
        <w:t>НА</w:t>
      </w:r>
      <w:r w:rsidRPr="00FA50B1">
        <w:rPr>
          <w:rFonts w:ascii="Times New Roman" w:hAnsi="Times New Roman" w:cs="Times New Roman"/>
          <w:b/>
          <w:color w:val="000000"/>
          <w:lang w:val="sr-Latn-RS"/>
        </w:rPr>
        <w:t>Ч</w:t>
      </w:r>
      <w:r w:rsidRPr="00FA50B1">
        <w:rPr>
          <w:rFonts w:ascii="Times New Roman" w:hAnsi="Times New Roman" w:cs="Times New Roman"/>
          <w:b/>
          <w:color w:val="000000"/>
        </w:rPr>
        <w:t>ЕЛО ТРАНСПАРЕНТНОСТИ</w:t>
      </w:r>
    </w:p>
    <w:p w:rsidR="00FA50B1" w:rsidRPr="00FA50B1" w:rsidRDefault="00FA50B1" w:rsidP="00FA50B1">
      <w:pPr>
        <w:autoSpaceDE w:val="0"/>
        <w:autoSpaceDN w:val="0"/>
        <w:adjustRightInd w:val="0"/>
        <w:spacing w:after="0" w:line="240" w:lineRule="auto"/>
        <w:jc w:val="both"/>
        <w:rPr>
          <w:rFonts w:ascii="Times New Roman" w:hAnsi="Times New Roman" w:cs="Times New Roman"/>
          <w:color w:val="000000"/>
        </w:rPr>
      </w:pPr>
    </w:p>
    <w:p w:rsidR="00E42CF5" w:rsidRDefault="00E42CF5" w:rsidP="0015394B">
      <w:pPr>
        <w:spacing w:after="0" w:line="240" w:lineRule="auto"/>
        <w:jc w:val="both"/>
        <w:rPr>
          <w:rFonts w:ascii="Times New Roman" w:hAnsi="Times New Roman" w:cs="Times New Roman"/>
          <w:lang w:val="sr-Cyrl-RS"/>
        </w:rPr>
      </w:pPr>
    </w:p>
    <w:p w:rsidR="00FA50B1" w:rsidRDefault="001C66A5" w:rsidP="0015394B">
      <w:pPr>
        <w:spacing w:after="0" w:line="240" w:lineRule="auto"/>
        <w:jc w:val="both"/>
        <w:rPr>
          <w:rFonts w:ascii="Times New Roman" w:hAnsi="Times New Roman" w:cs="Times New Roman"/>
          <w:lang w:val="sr-Cyrl-RS"/>
        </w:rPr>
      </w:pPr>
      <w:r w:rsidRPr="007241F0">
        <w:rPr>
          <w:rFonts w:ascii="Times New Roman" w:hAnsi="Times New Roman" w:cs="Times New Roman"/>
          <w:lang w:val="sr-Cyrl-RS"/>
        </w:rPr>
        <w:t xml:space="preserve">Путем јавног </w:t>
      </w:r>
      <w:r w:rsidRPr="007241F0">
        <w:rPr>
          <w:rFonts w:ascii="Times New Roman" w:hAnsi="Times New Roman" w:cs="Times New Roman"/>
        </w:rPr>
        <w:t>објављивањ</w:t>
      </w:r>
      <w:r w:rsidRPr="007241F0">
        <w:rPr>
          <w:rFonts w:ascii="Times New Roman" w:hAnsi="Times New Roman" w:cs="Times New Roman"/>
          <w:lang w:val="sr-Cyrl-RS"/>
        </w:rPr>
        <w:t>а</w:t>
      </w:r>
      <w:r w:rsidR="00FA50B1" w:rsidRPr="007241F0">
        <w:rPr>
          <w:rFonts w:ascii="Times New Roman" w:hAnsi="Times New Roman" w:cs="Times New Roman"/>
        </w:rPr>
        <w:t xml:space="preserve"> свих података о току стечајног поступка на интернет страни овлашћене организације (АЛСУ), повећава се транспарентност стечајног поступка, односно омогућава се свим заинтересованим лицима да буду обавештени о току стечајног поступка у свим његовим фазама.</w:t>
      </w:r>
    </w:p>
    <w:p w:rsidR="003E20B7" w:rsidRDefault="003E20B7" w:rsidP="0015394B">
      <w:pPr>
        <w:spacing w:after="0" w:line="240" w:lineRule="auto"/>
        <w:jc w:val="both"/>
        <w:rPr>
          <w:rFonts w:ascii="Times New Roman" w:hAnsi="Times New Roman" w:cs="Times New Roman"/>
          <w:lang w:val="sr-Cyrl-RS"/>
        </w:rPr>
      </w:pPr>
    </w:p>
    <w:p w:rsidR="003E20B7" w:rsidRPr="003E20B7" w:rsidRDefault="003E20B7" w:rsidP="0015394B">
      <w:pPr>
        <w:spacing w:after="0" w:line="240" w:lineRule="auto"/>
        <w:jc w:val="both"/>
        <w:rPr>
          <w:rFonts w:ascii="Times New Roman" w:hAnsi="Times New Roman" w:cs="Times New Roman"/>
          <w:lang w:val="sr-Cyrl-RS"/>
        </w:rPr>
      </w:pPr>
      <w:r>
        <w:rPr>
          <w:rFonts w:ascii="Times New Roman" w:hAnsi="Times New Roman" w:cs="Times New Roman"/>
          <w:lang w:val="sr-Cyrl-RS"/>
        </w:rPr>
        <w:t>Транспарентно</w:t>
      </w:r>
      <w:r w:rsidR="002D1223">
        <w:rPr>
          <w:rFonts w:ascii="Times New Roman" w:hAnsi="Times New Roman" w:cs="Times New Roman"/>
          <w:lang w:val="sr-Cyrl-RS"/>
        </w:rPr>
        <w:t>ст стечајног поступка прописана ј</w:t>
      </w:r>
      <w:r>
        <w:rPr>
          <w:rFonts w:ascii="Times New Roman" w:hAnsi="Times New Roman" w:cs="Times New Roman"/>
          <w:lang w:val="sr-Cyrl-RS"/>
        </w:rPr>
        <w:t>е одредбама Закона и о</w:t>
      </w:r>
      <w:r w:rsidR="009505CA">
        <w:rPr>
          <w:rFonts w:ascii="Times New Roman" w:hAnsi="Times New Roman" w:cs="Times New Roman"/>
          <w:lang w:val="sr-Cyrl-RS"/>
        </w:rPr>
        <w:t xml:space="preserve"> </w:t>
      </w:r>
      <w:r>
        <w:rPr>
          <w:rFonts w:ascii="Times New Roman" w:hAnsi="Times New Roman" w:cs="Times New Roman"/>
          <w:lang w:val="sr-Cyrl-RS"/>
        </w:rPr>
        <w:t>стечају и Национални</w:t>
      </w:r>
      <w:r w:rsidR="00330757">
        <w:rPr>
          <w:rFonts w:ascii="Times New Roman" w:hAnsi="Times New Roman" w:cs="Times New Roman"/>
          <w:lang w:val="sr-Cyrl-RS"/>
        </w:rPr>
        <w:t>м стандардима</w:t>
      </w:r>
      <w:r>
        <w:rPr>
          <w:rFonts w:ascii="Times New Roman" w:hAnsi="Times New Roman" w:cs="Times New Roman"/>
          <w:lang w:val="sr-Cyrl-RS"/>
        </w:rPr>
        <w:t xml:space="preserve"> за управљање стечајном масом, на следећи начин:</w:t>
      </w:r>
    </w:p>
    <w:p w:rsidR="0015394B" w:rsidRPr="007241F0" w:rsidRDefault="0015394B" w:rsidP="0015394B">
      <w:pPr>
        <w:spacing w:after="0" w:line="240" w:lineRule="auto"/>
        <w:jc w:val="both"/>
        <w:rPr>
          <w:rFonts w:ascii="Times New Roman" w:hAnsi="Times New Roman" w:cs="Times New Roman"/>
          <w:lang w:val="sr-Cyrl-RS"/>
        </w:rPr>
      </w:pPr>
    </w:p>
    <w:p w:rsidR="00FA50B1" w:rsidRPr="00557259" w:rsidRDefault="003E20B7" w:rsidP="00557259">
      <w:pPr>
        <w:pStyle w:val="ListParagraph"/>
        <w:numPr>
          <w:ilvl w:val="0"/>
          <w:numId w:val="13"/>
        </w:numPr>
        <w:spacing w:after="0" w:line="240" w:lineRule="auto"/>
        <w:jc w:val="both"/>
        <w:rPr>
          <w:rFonts w:ascii="Times New Roman" w:hAnsi="Times New Roman" w:cs="Times New Roman"/>
          <w:lang w:val="sr-Cyrl-RS"/>
        </w:rPr>
      </w:pPr>
      <w:r w:rsidRPr="00557259">
        <w:rPr>
          <w:rFonts w:ascii="Times New Roman" w:hAnsi="Times New Roman" w:cs="Times New Roman"/>
          <w:lang w:val="sr-Cyrl-RS"/>
        </w:rPr>
        <w:t>П</w:t>
      </w:r>
      <w:r w:rsidRPr="00557259">
        <w:rPr>
          <w:rFonts w:ascii="Times New Roman" w:hAnsi="Times New Roman" w:cs="Times New Roman"/>
        </w:rPr>
        <w:t>редвиђ</w:t>
      </w:r>
      <w:r w:rsidRPr="00557259">
        <w:rPr>
          <w:rFonts w:ascii="Times New Roman" w:hAnsi="Times New Roman" w:cs="Times New Roman"/>
          <w:lang w:val="sr-Cyrl-RS"/>
        </w:rPr>
        <w:t>ено је</w:t>
      </w:r>
      <w:r w:rsidR="00FA50B1" w:rsidRPr="00557259">
        <w:rPr>
          <w:rFonts w:ascii="Times New Roman" w:hAnsi="Times New Roman" w:cs="Times New Roman"/>
        </w:rPr>
        <w:t xml:space="preserve"> да се сви огласи, решења и други акти суда, на дан доношења, објављују на огласној и електронској огласној табли суда, а решења и други акти суда, када је то прописано законом, доставља</w:t>
      </w:r>
      <w:r w:rsidR="00330757">
        <w:rPr>
          <w:rFonts w:ascii="Times New Roman" w:hAnsi="Times New Roman" w:cs="Times New Roman"/>
        </w:rPr>
        <w:t xml:space="preserve">ју и одговарајућем регистру </w:t>
      </w:r>
      <w:r w:rsidR="00330757">
        <w:rPr>
          <w:rFonts w:ascii="Times New Roman" w:hAnsi="Times New Roman" w:cs="Times New Roman"/>
          <w:lang w:val="sr-Cyrl-RS"/>
        </w:rPr>
        <w:t>у циљу</w:t>
      </w:r>
      <w:r w:rsidR="00FA50B1" w:rsidRPr="00557259">
        <w:rPr>
          <w:rFonts w:ascii="Times New Roman" w:hAnsi="Times New Roman" w:cs="Times New Roman"/>
        </w:rPr>
        <w:t xml:space="preserve"> јавног објављивања на интернет страни тог регистра или на други одговарајући начин уколико тај регистар нема своју интер</w:t>
      </w:r>
      <w:r w:rsidR="006B3879" w:rsidRPr="00557259">
        <w:rPr>
          <w:rFonts w:ascii="Times New Roman" w:hAnsi="Times New Roman" w:cs="Times New Roman"/>
        </w:rPr>
        <w:t>нет страну</w:t>
      </w:r>
      <w:r w:rsidR="006B3879" w:rsidRPr="00557259">
        <w:rPr>
          <w:rFonts w:ascii="Times New Roman" w:hAnsi="Times New Roman" w:cs="Times New Roman"/>
          <w:lang w:val="sr-Cyrl-RS"/>
        </w:rPr>
        <w:t xml:space="preserve">, чиме се </w:t>
      </w:r>
      <w:r w:rsidR="006B3879" w:rsidRPr="00557259">
        <w:rPr>
          <w:rFonts w:ascii="Times New Roman" w:hAnsi="Times New Roman" w:cs="Times New Roman"/>
        </w:rPr>
        <w:t xml:space="preserve">обезбеђује </w:t>
      </w:r>
      <w:r w:rsidR="00FA50B1" w:rsidRPr="00557259">
        <w:rPr>
          <w:rFonts w:ascii="Times New Roman" w:hAnsi="Times New Roman" w:cs="Times New Roman"/>
        </w:rPr>
        <w:t>да повериоци и заинтересована лица буду обавештени о свим фазама стеч</w:t>
      </w:r>
      <w:r w:rsidRPr="00557259">
        <w:rPr>
          <w:rFonts w:ascii="Times New Roman" w:hAnsi="Times New Roman" w:cs="Times New Roman"/>
        </w:rPr>
        <w:t>аја одређеног стечајног дужника</w:t>
      </w:r>
      <w:r w:rsidRPr="00557259">
        <w:rPr>
          <w:rFonts w:ascii="Times New Roman" w:hAnsi="Times New Roman" w:cs="Times New Roman"/>
          <w:lang w:val="sr-Cyrl-RS"/>
        </w:rPr>
        <w:t>;</w:t>
      </w:r>
    </w:p>
    <w:p w:rsidR="0015394B" w:rsidRPr="007241F0" w:rsidRDefault="0015394B" w:rsidP="0015394B">
      <w:pPr>
        <w:spacing w:after="0" w:line="240" w:lineRule="auto"/>
        <w:jc w:val="both"/>
        <w:rPr>
          <w:rFonts w:ascii="Times New Roman" w:hAnsi="Times New Roman" w:cs="Times New Roman"/>
          <w:lang w:val="sr-Cyrl-RS"/>
        </w:rPr>
      </w:pPr>
    </w:p>
    <w:p w:rsidR="00FA50B1" w:rsidRPr="00557259" w:rsidRDefault="006B3879" w:rsidP="00557259">
      <w:pPr>
        <w:pStyle w:val="ListParagraph"/>
        <w:numPr>
          <w:ilvl w:val="0"/>
          <w:numId w:val="13"/>
        </w:numPr>
        <w:spacing w:after="0" w:line="240" w:lineRule="auto"/>
        <w:jc w:val="both"/>
        <w:rPr>
          <w:rFonts w:ascii="Times New Roman" w:hAnsi="Times New Roman" w:cs="Times New Roman"/>
          <w:lang w:val="sr-Cyrl-RS"/>
        </w:rPr>
      </w:pPr>
      <w:r w:rsidRPr="00557259">
        <w:rPr>
          <w:rFonts w:ascii="Times New Roman" w:hAnsi="Times New Roman" w:cs="Times New Roman"/>
          <w:lang w:val="sr-Cyrl-RS"/>
        </w:rPr>
        <w:t>У</w:t>
      </w:r>
      <w:r w:rsidR="00FA50B1" w:rsidRPr="00557259">
        <w:rPr>
          <w:rFonts w:ascii="Times New Roman" w:hAnsi="Times New Roman" w:cs="Times New Roman"/>
        </w:rPr>
        <w:t xml:space="preserve"> погледу обавеза с</w:t>
      </w:r>
      <w:r w:rsidRPr="00557259">
        <w:rPr>
          <w:rFonts w:ascii="Times New Roman" w:hAnsi="Times New Roman" w:cs="Times New Roman"/>
        </w:rPr>
        <w:t xml:space="preserve">течајног управника, </w:t>
      </w:r>
      <w:r w:rsidR="00FA50B1" w:rsidRPr="00557259">
        <w:rPr>
          <w:rFonts w:ascii="Times New Roman" w:hAnsi="Times New Roman" w:cs="Times New Roman"/>
        </w:rPr>
        <w:t>предвиђа</w:t>
      </w:r>
      <w:r w:rsidRPr="00557259">
        <w:rPr>
          <w:rFonts w:ascii="Times New Roman" w:hAnsi="Times New Roman" w:cs="Times New Roman"/>
          <w:lang w:val="sr-Cyrl-RS"/>
        </w:rPr>
        <w:t>но је</w:t>
      </w:r>
      <w:r w:rsidR="003E20B7" w:rsidRPr="00557259">
        <w:rPr>
          <w:rFonts w:ascii="Times New Roman" w:hAnsi="Times New Roman" w:cs="Times New Roman"/>
        </w:rPr>
        <w:t xml:space="preserve"> да предуз</w:t>
      </w:r>
      <w:r w:rsidR="003E20B7" w:rsidRPr="00557259">
        <w:rPr>
          <w:rFonts w:ascii="Times New Roman" w:hAnsi="Times New Roman" w:cs="Times New Roman"/>
          <w:lang w:val="sr-Cyrl-RS"/>
        </w:rPr>
        <w:t>има</w:t>
      </w:r>
      <w:r w:rsidR="00FA50B1" w:rsidRPr="00557259">
        <w:rPr>
          <w:rFonts w:ascii="Times New Roman" w:hAnsi="Times New Roman" w:cs="Times New Roman"/>
        </w:rPr>
        <w:t xml:space="preserve"> радње побијања уколико су исте целисходне, као и да састави и достави стечајном судији, одбору поверилаца и овлашћеној организацији извештај о економско финансијском положају стечајног дужника, чиме се додатно обезбеђује заштита имовине</w:t>
      </w:r>
      <w:r w:rsidR="003E20B7" w:rsidRPr="00557259">
        <w:rPr>
          <w:rFonts w:ascii="Times New Roman" w:hAnsi="Times New Roman" w:cs="Times New Roman"/>
        </w:rPr>
        <w:t xml:space="preserve"> стечајног дужника</w:t>
      </w:r>
      <w:r w:rsidR="00FA50B1" w:rsidRPr="00557259">
        <w:rPr>
          <w:rFonts w:ascii="Times New Roman" w:hAnsi="Times New Roman" w:cs="Times New Roman"/>
        </w:rPr>
        <w:t>, односно омогућава се свим заинтересованим лицима да се информишу о економско финансиј</w:t>
      </w:r>
      <w:r w:rsidR="003E20B7" w:rsidRPr="00557259">
        <w:rPr>
          <w:rFonts w:ascii="Times New Roman" w:hAnsi="Times New Roman" w:cs="Times New Roman"/>
        </w:rPr>
        <w:t>ском положају стечајног дужника</w:t>
      </w:r>
      <w:r w:rsidR="003E20B7" w:rsidRPr="00557259">
        <w:rPr>
          <w:rFonts w:ascii="Times New Roman" w:hAnsi="Times New Roman" w:cs="Times New Roman"/>
          <w:lang w:val="sr-Cyrl-RS"/>
        </w:rPr>
        <w:t>;</w:t>
      </w:r>
    </w:p>
    <w:p w:rsidR="0015394B" w:rsidRPr="007241F0" w:rsidRDefault="0015394B" w:rsidP="0015394B">
      <w:pPr>
        <w:spacing w:after="0" w:line="240" w:lineRule="auto"/>
        <w:jc w:val="both"/>
        <w:rPr>
          <w:rFonts w:ascii="Times New Roman" w:hAnsi="Times New Roman" w:cs="Times New Roman"/>
          <w:lang w:val="sr-Cyrl-RS"/>
        </w:rPr>
      </w:pPr>
    </w:p>
    <w:p w:rsidR="00FA50B1" w:rsidRPr="00557259" w:rsidRDefault="003E20B7" w:rsidP="00557259">
      <w:pPr>
        <w:pStyle w:val="ListParagraph"/>
        <w:numPr>
          <w:ilvl w:val="0"/>
          <w:numId w:val="13"/>
        </w:numPr>
        <w:spacing w:after="0" w:line="240" w:lineRule="auto"/>
        <w:jc w:val="both"/>
        <w:rPr>
          <w:rFonts w:ascii="Times New Roman" w:hAnsi="Times New Roman" w:cs="Times New Roman"/>
          <w:lang w:val="sr-Cyrl-RS"/>
        </w:rPr>
      </w:pPr>
      <w:r w:rsidRPr="00557259">
        <w:rPr>
          <w:rFonts w:ascii="Times New Roman" w:hAnsi="Times New Roman" w:cs="Times New Roman"/>
          <w:lang w:val="sr-Cyrl-RS"/>
        </w:rPr>
        <w:t>М</w:t>
      </w:r>
      <w:r w:rsidR="006B3879" w:rsidRPr="00557259">
        <w:rPr>
          <w:rFonts w:ascii="Times New Roman" w:hAnsi="Times New Roman" w:cs="Times New Roman"/>
        </w:rPr>
        <w:t xml:space="preserve">огућност свих поверилаца и заинтересованих лица да буду обавештени о току стечајног поступка и о стању стечајне масе </w:t>
      </w:r>
      <w:r w:rsidR="006B3879" w:rsidRPr="00557259">
        <w:rPr>
          <w:rFonts w:ascii="Times New Roman" w:hAnsi="Times New Roman" w:cs="Times New Roman"/>
          <w:lang w:val="sr-Cyrl-RS"/>
        </w:rPr>
        <w:t>обезбеђује се и одредбом</w:t>
      </w:r>
      <w:r w:rsidR="00FA50B1" w:rsidRPr="00557259">
        <w:rPr>
          <w:rFonts w:ascii="Times New Roman" w:hAnsi="Times New Roman" w:cs="Times New Roman"/>
        </w:rPr>
        <w:t xml:space="preserve"> Закона о стечају према којој је стечајни управник дужан да извештаје стечајном судији достави у писаном облику, а одбору поверилаца и овлашћеној организацији електронским путем, која је дужна да извештаје, одмах по достављању јавно објави на својој интернет ст</w:t>
      </w:r>
      <w:r w:rsidRPr="00557259">
        <w:rPr>
          <w:rFonts w:ascii="Times New Roman" w:hAnsi="Times New Roman" w:cs="Times New Roman"/>
        </w:rPr>
        <w:t>рани</w:t>
      </w:r>
      <w:r w:rsidRPr="00557259">
        <w:rPr>
          <w:rFonts w:ascii="Times New Roman" w:hAnsi="Times New Roman" w:cs="Times New Roman"/>
          <w:lang w:val="sr-Cyrl-RS"/>
        </w:rPr>
        <w:t>;</w:t>
      </w:r>
    </w:p>
    <w:p w:rsidR="0015394B" w:rsidRPr="005D5F64" w:rsidRDefault="0015394B" w:rsidP="0015394B">
      <w:pPr>
        <w:spacing w:after="0" w:line="240" w:lineRule="auto"/>
        <w:jc w:val="both"/>
        <w:rPr>
          <w:rFonts w:ascii="Times New Roman" w:hAnsi="Times New Roman" w:cs="Times New Roman"/>
          <w:highlight w:val="yellow"/>
          <w:lang w:val="sr-Cyrl-RS"/>
        </w:rPr>
      </w:pPr>
    </w:p>
    <w:p w:rsidR="00557259" w:rsidRDefault="00BE0F84" w:rsidP="00557259">
      <w:pPr>
        <w:pStyle w:val="ListParagraph"/>
        <w:numPr>
          <w:ilvl w:val="0"/>
          <w:numId w:val="13"/>
        </w:numPr>
        <w:spacing w:after="0" w:line="240" w:lineRule="auto"/>
        <w:jc w:val="both"/>
        <w:rPr>
          <w:rFonts w:ascii="Times New Roman" w:hAnsi="Times New Roman" w:cs="Times New Roman"/>
          <w:lang w:val="sr-Cyrl-RS"/>
        </w:rPr>
      </w:pPr>
      <w:r w:rsidRPr="00557259">
        <w:rPr>
          <w:rFonts w:ascii="Times New Roman" w:hAnsi="Times New Roman" w:cs="Times New Roman"/>
          <w:lang w:val="sr-Cyrl-RS"/>
        </w:rPr>
        <w:t xml:space="preserve">Одбору поверилаца дата је </w:t>
      </w:r>
      <w:r w:rsidRPr="00557259">
        <w:rPr>
          <w:rFonts w:ascii="Times New Roman" w:hAnsi="Times New Roman" w:cs="Times New Roman"/>
        </w:rPr>
        <w:t xml:space="preserve">могућност </w:t>
      </w:r>
      <w:r w:rsidR="00FA50B1" w:rsidRPr="00557259">
        <w:rPr>
          <w:rFonts w:ascii="Times New Roman" w:hAnsi="Times New Roman" w:cs="Times New Roman"/>
        </w:rPr>
        <w:t xml:space="preserve">да о свом трошку ангажује стручно лице које ће извршити анализу пословања стечајног дужника, на који начин се </w:t>
      </w:r>
      <w:r w:rsidRPr="00557259">
        <w:rPr>
          <w:rFonts w:ascii="Times New Roman" w:hAnsi="Times New Roman" w:cs="Times New Roman"/>
          <w:lang w:val="sr-Cyrl-RS"/>
        </w:rPr>
        <w:t xml:space="preserve">одбор поверилаца </w:t>
      </w:r>
      <w:r w:rsidR="00330757">
        <w:rPr>
          <w:rFonts w:ascii="Times New Roman" w:hAnsi="Times New Roman" w:cs="Times New Roman"/>
          <w:lang w:val="sr-Cyrl-RS"/>
        </w:rPr>
        <w:t xml:space="preserve">упознаје </w:t>
      </w:r>
      <w:r w:rsidR="00FA50B1" w:rsidRPr="00557259">
        <w:rPr>
          <w:rFonts w:ascii="Times New Roman" w:hAnsi="Times New Roman" w:cs="Times New Roman"/>
        </w:rPr>
        <w:t>са правним пословима и радњама стечајног дужника ради евентуалног побијања правних ра</w:t>
      </w:r>
      <w:r w:rsidRPr="00557259">
        <w:rPr>
          <w:rFonts w:ascii="Times New Roman" w:hAnsi="Times New Roman" w:cs="Times New Roman"/>
        </w:rPr>
        <w:t>дњи и послова стечајног дужника</w:t>
      </w:r>
      <w:r w:rsidRPr="00557259">
        <w:rPr>
          <w:rFonts w:ascii="Times New Roman" w:hAnsi="Times New Roman" w:cs="Times New Roman"/>
          <w:lang w:val="sr-Cyrl-RS"/>
        </w:rPr>
        <w:t>;</w:t>
      </w:r>
    </w:p>
    <w:p w:rsidR="00557259" w:rsidRDefault="00557259" w:rsidP="00557259">
      <w:pPr>
        <w:pStyle w:val="ListParagraph"/>
        <w:spacing w:after="0" w:line="240" w:lineRule="auto"/>
        <w:jc w:val="both"/>
        <w:rPr>
          <w:rFonts w:ascii="Times New Roman" w:hAnsi="Times New Roman" w:cs="Times New Roman"/>
          <w:lang w:val="sr-Cyrl-RS"/>
        </w:rPr>
      </w:pPr>
    </w:p>
    <w:p w:rsidR="00FA50B1" w:rsidRPr="00557259" w:rsidRDefault="00BE0F84" w:rsidP="00557259">
      <w:pPr>
        <w:pStyle w:val="ListParagraph"/>
        <w:numPr>
          <w:ilvl w:val="0"/>
          <w:numId w:val="13"/>
        </w:numPr>
        <w:spacing w:after="0" w:line="240" w:lineRule="auto"/>
        <w:jc w:val="both"/>
        <w:rPr>
          <w:rFonts w:ascii="Times New Roman" w:hAnsi="Times New Roman" w:cs="Times New Roman"/>
          <w:lang w:val="sr-Cyrl-RS"/>
        </w:rPr>
      </w:pPr>
      <w:r w:rsidRPr="00557259">
        <w:rPr>
          <w:rFonts w:ascii="Times New Roman" w:hAnsi="Times New Roman" w:cs="Times New Roman"/>
          <w:lang w:val="sr-Cyrl-RS"/>
        </w:rPr>
        <w:t>П</w:t>
      </w:r>
      <w:r w:rsidRPr="00557259">
        <w:rPr>
          <w:rFonts w:ascii="Times New Roman" w:hAnsi="Times New Roman" w:cs="Times New Roman"/>
        </w:rPr>
        <w:t>рописана је</w:t>
      </w:r>
      <w:r w:rsidR="00FA50B1" w:rsidRPr="00557259">
        <w:rPr>
          <w:rFonts w:ascii="Times New Roman" w:hAnsi="Times New Roman" w:cs="Times New Roman"/>
        </w:rPr>
        <w:t xml:space="preserve"> дужност стечајног управника да у случају продаје јавним надметањем или јавним прикупљањем понуда исту огласи и на интернет страни овлашћене организације, у циљ</w:t>
      </w:r>
      <w:r w:rsidRPr="00557259">
        <w:rPr>
          <w:rFonts w:ascii="Times New Roman" w:hAnsi="Times New Roman" w:cs="Times New Roman"/>
        </w:rPr>
        <w:t>у веће транспарентности продаје</w:t>
      </w:r>
      <w:r w:rsidRPr="00557259">
        <w:rPr>
          <w:rFonts w:ascii="Times New Roman" w:hAnsi="Times New Roman" w:cs="Times New Roman"/>
          <w:lang w:val="sr-Cyrl-RS"/>
        </w:rPr>
        <w:t>.</w:t>
      </w:r>
    </w:p>
    <w:p w:rsidR="00FA50B1" w:rsidRPr="00FA50B1" w:rsidRDefault="00FA50B1" w:rsidP="0015394B">
      <w:pPr>
        <w:autoSpaceDE w:val="0"/>
        <w:autoSpaceDN w:val="0"/>
        <w:adjustRightInd w:val="0"/>
        <w:spacing w:after="0" w:line="240" w:lineRule="auto"/>
        <w:jc w:val="both"/>
        <w:rPr>
          <w:rFonts w:ascii="Times New Roman" w:hAnsi="Times New Roman" w:cs="Times New Roman"/>
          <w:color w:val="000000"/>
          <w:highlight w:val="yellow"/>
        </w:rPr>
      </w:pPr>
    </w:p>
    <w:p w:rsidR="00E60A79" w:rsidRDefault="00E60A79" w:rsidP="00557259">
      <w:pPr>
        <w:autoSpaceDE w:val="0"/>
        <w:autoSpaceDN w:val="0"/>
        <w:adjustRightInd w:val="0"/>
        <w:spacing w:after="0" w:line="240" w:lineRule="auto"/>
        <w:jc w:val="both"/>
        <w:rPr>
          <w:rFonts w:ascii="Times New Roman" w:hAnsi="Times New Roman" w:cs="Times New Roman"/>
          <w:color w:val="000000"/>
          <w:lang w:val="sr-Cyrl-RS"/>
        </w:rPr>
      </w:pPr>
    </w:p>
    <w:p w:rsidR="00FA50B1" w:rsidRPr="002F7252" w:rsidRDefault="00FA50B1" w:rsidP="00557259">
      <w:pPr>
        <w:autoSpaceDE w:val="0"/>
        <w:autoSpaceDN w:val="0"/>
        <w:adjustRightInd w:val="0"/>
        <w:spacing w:after="0" w:line="240" w:lineRule="auto"/>
        <w:jc w:val="both"/>
        <w:rPr>
          <w:rFonts w:ascii="Times New Roman" w:hAnsi="Times New Roman" w:cs="Times New Roman"/>
          <w:color w:val="000000" w:themeColor="text1"/>
          <w:lang w:val="sr-Cyrl-RS"/>
        </w:rPr>
      </w:pPr>
      <w:r w:rsidRPr="00E54516">
        <w:rPr>
          <w:rFonts w:ascii="Times New Roman" w:hAnsi="Times New Roman" w:cs="Times New Roman"/>
          <w:color w:val="000000"/>
        </w:rPr>
        <w:t xml:space="preserve">Коначно, </w:t>
      </w:r>
      <w:r w:rsidR="00E13F5D" w:rsidRPr="00E54516">
        <w:rPr>
          <w:rFonts w:ascii="Times New Roman" w:hAnsi="Times New Roman" w:cs="Times New Roman"/>
          <w:color w:val="000000"/>
          <w:lang w:val="sr-Cyrl-RS"/>
        </w:rPr>
        <w:t xml:space="preserve">треба напоменути да у </w:t>
      </w:r>
      <w:r w:rsidRPr="00E54516">
        <w:rPr>
          <w:rFonts w:ascii="Times New Roman" w:hAnsi="Times New Roman" w:cs="Times New Roman"/>
          <w:color w:val="000000"/>
        </w:rPr>
        <w:t>случају одсуства интереса купаца, трајање поступка, али и степен намирења нису задовољавајући. Нека решења могу поједноставити продају или је учинити транспарентнијом, те тако смањити трошкове и евентуално остварити бољу продајну цену, али ће неповољно економско окружење и даље имати пресудну улогу на коначни исход</w:t>
      </w:r>
      <w:r w:rsidR="00E54516" w:rsidRPr="00E54516">
        <w:rPr>
          <w:rFonts w:ascii="Times New Roman" w:hAnsi="Times New Roman" w:cs="Times New Roman"/>
          <w:color w:val="000000"/>
          <w:lang w:val="sr-Cyrl-RS"/>
        </w:rPr>
        <w:t xml:space="preserve"> стечаја</w:t>
      </w:r>
      <w:r w:rsidRPr="00E54516">
        <w:rPr>
          <w:rFonts w:ascii="Times New Roman" w:hAnsi="Times New Roman" w:cs="Times New Roman"/>
          <w:color w:val="000000"/>
        </w:rPr>
        <w:t>.</w:t>
      </w:r>
      <w:r w:rsidRPr="00FA50B1">
        <w:rPr>
          <w:rFonts w:ascii="Times New Roman" w:hAnsi="Times New Roman" w:cs="Times New Roman"/>
          <w:color w:val="000000"/>
        </w:rPr>
        <w:t xml:space="preserve"> </w:t>
      </w:r>
    </w:p>
    <w:sectPr w:rsidR="00FA50B1" w:rsidRPr="002F7252" w:rsidSect="00F22799">
      <w:pgSz w:w="12240" w:h="15840" w:code="1"/>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20" w:rsidRDefault="00CD2C20" w:rsidP="00F1710F">
      <w:pPr>
        <w:spacing w:after="0" w:line="240" w:lineRule="auto"/>
      </w:pPr>
      <w:r>
        <w:separator/>
      </w:r>
    </w:p>
  </w:endnote>
  <w:endnote w:type="continuationSeparator" w:id="0">
    <w:p w:rsidR="00CD2C20" w:rsidRDefault="00CD2C20" w:rsidP="00F1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20" w:rsidRDefault="00CD2C20" w:rsidP="00F1710F">
      <w:pPr>
        <w:spacing w:after="0" w:line="240" w:lineRule="auto"/>
      </w:pPr>
      <w:r>
        <w:separator/>
      </w:r>
    </w:p>
  </w:footnote>
  <w:footnote w:type="continuationSeparator" w:id="0">
    <w:p w:rsidR="00CD2C20" w:rsidRDefault="00CD2C20" w:rsidP="00F1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FC6"/>
    <w:multiLevelType w:val="hybridMultilevel"/>
    <w:tmpl w:val="D57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A2269"/>
    <w:multiLevelType w:val="hybridMultilevel"/>
    <w:tmpl w:val="ADFE6F90"/>
    <w:lvl w:ilvl="0" w:tplc="71FADDF2">
      <w:start w:val="1"/>
      <w:numFmt w:val="bullet"/>
      <w:lvlText w:val=""/>
      <w:lvlJc w:val="left"/>
      <w:pPr>
        <w:tabs>
          <w:tab w:val="num" w:pos="720"/>
        </w:tabs>
        <w:ind w:left="720" w:hanging="360"/>
      </w:pPr>
      <w:rPr>
        <w:rFonts w:ascii="Wingdings" w:hAnsi="Wingdings" w:hint="default"/>
      </w:rPr>
    </w:lvl>
    <w:lvl w:ilvl="1" w:tplc="19A4EFEA">
      <w:start w:val="432"/>
      <w:numFmt w:val="bullet"/>
      <w:lvlText w:val=""/>
      <w:lvlJc w:val="left"/>
      <w:pPr>
        <w:tabs>
          <w:tab w:val="num" w:pos="1440"/>
        </w:tabs>
        <w:ind w:left="1440" w:hanging="360"/>
      </w:pPr>
      <w:rPr>
        <w:rFonts w:ascii="Wingdings" w:hAnsi="Wingdings" w:hint="default"/>
      </w:rPr>
    </w:lvl>
    <w:lvl w:ilvl="2" w:tplc="97DEA18E" w:tentative="1">
      <w:start w:val="1"/>
      <w:numFmt w:val="bullet"/>
      <w:lvlText w:val=""/>
      <w:lvlJc w:val="left"/>
      <w:pPr>
        <w:tabs>
          <w:tab w:val="num" w:pos="2160"/>
        </w:tabs>
        <w:ind w:left="2160" w:hanging="360"/>
      </w:pPr>
      <w:rPr>
        <w:rFonts w:ascii="Wingdings" w:hAnsi="Wingdings" w:hint="default"/>
      </w:rPr>
    </w:lvl>
    <w:lvl w:ilvl="3" w:tplc="427C1E88" w:tentative="1">
      <w:start w:val="1"/>
      <w:numFmt w:val="bullet"/>
      <w:lvlText w:val=""/>
      <w:lvlJc w:val="left"/>
      <w:pPr>
        <w:tabs>
          <w:tab w:val="num" w:pos="2880"/>
        </w:tabs>
        <w:ind w:left="2880" w:hanging="360"/>
      </w:pPr>
      <w:rPr>
        <w:rFonts w:ascii="Wingdings" w:hAnsi="Wingdings" w:hint="default"/>
      </w:rPr>
    </w:lvl>
    <w:lvl w:ilvl="4" w:tplc="BD3075A4" w:tentative="1">
      <w:start w:val="1"/>
      <w:numFmt w:val="bullet"/>
      <w:lvlText w:val=""/>
      <w:lvlJc w:val="left"/>
      <w:pPr>
        <w:tabs>
          <w:tab w:val="num" w:pos="3600"/>
        </w:tabs>
        <w:ind w:left="3600" w:hanging="360"/>
      </w:pPr>
      <w:rPr>
        <w:rFonts w:ascii="Wingdings" w:hAnsi="Wingdings" w:hint="default"/>
      </w:rPr>
    </w:lvl>
    <w:lvl w:ilvl="5" w:tplc="7AACBC1E" w:tentative="1">
      <w:start w:val="1"/>
      <w:numFmt w:val="bullet"/>
      <w:lvlText w:val=""/>
      <w:lvlJc w:val="left"/>
      <w:pPr>
        <w:tabs>
          <w:tab w:val="num" w:pos="4320"/>
        </w:tabs>
        <w:ind w:left="4320" w:hanging="360"/>
      </w:pPr>
      <w:rPr>
        <w:rFonts w:ascii="Wingdings" w:hAnsi="Wingdings" w:hint="default"/>
      </w:rPr>
    </w:lvl>
    <w:lvl w:ilvl="6" w:tplc="4C889048" w:tentative="1">
      <w:start w:val="1"/>
      <w:numFmt w:val="bullet"/>
      <w:lvlText w:val=""/>
      <w:lvlJc w:val="left"/>
      <w:pPr>
        <w:tabs>
          <w:tab w:val="num" w:pos="5040"/>
        </w:tabs>
        <w:ind w:left="5040" w:hanging="360"/>
      </w:pPr>
      <w:rPr>
        <w:rFonts w:ascii="Wingdings" w:hAnsi="Wingdings" w:hint="default"/>
      </w:rPr>
    </w:lvl>
    <w:lvl w:ilvl="7" w:tplc="9B4AFA62" w:tentative="1">
      <w:start w:val="1"/>
      <w:numFmt w:val="bullet"/>
      <w:lvlText w:val=""/>
      <w:lvlJc w:val="left"/>
      <w:pPr>
        <w:tabs>
          <w:tab w:val="num" w:pos="5760"/>
        </w:tabs>
        <w:ind w:left="5760" w:hanging="360"/>
      </w:pPr>
      <w:rPr>
        <w:rFonts w:ascii="Wingdings" w:hAnsi="Wingdings" w:hint="default"/>
      </w:rPr>
    </w:lvl>
    <w:lvl w:ilvl="8" w:tplc="1054CF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60BCD"/>
    <w:multiLevelType w:val="hybridMultilevel"/>
    <w:tmpl w:val="C058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2EB"/>
    <w:multiLevelType w:val="hybridMultilevel"/>
    <w:tmpl w:val="D6A04D9E"/>
    <w:lvl w:ilvl="0" w:tplc="895874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202D"/>
    <w:multiLevelType w:val="hybridMultilevel"/>
    <w:tmpl w:val="4B5690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9C42C6F"/>
    <w:multiLevelType w:val="hybridMultilevel"/>
    <w:tmpl w:val="B70E2788"/>
    <w:lvl w:ilvl="0" w:tplc="4BD81F0E">
      <w:start w:val="1"/>
      <w:numFmt w:val="upperRoman"/>
      <w:lvlText w:val="%1."/>
      <w:lvlJc w:val="left"/>
      <w:pPr>
        <w:ind w:left="2160" w:hanging="72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6" w15:restartNumberingAfterBreak="0">
    <w:nsid w:val="1EF72E83"/>
    <w:multiLevelType w:val="hybridMultilevel"/>
    <w:tmpl w:val="09AAFD66"/>
    <w:lvl w:ilvl="0" w:tplc="111234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17C8F"/>
    <w:multiLevelType w:val="hybridMultilevel"/>
    <w:tmpl w:val="9B2C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E4D8F"/>
    <w:multiLevelType w:val="hybridMultilevel"/>
    <w:tmpl w:val="CB668E6A"/>
    <w:lvl w:ilvl="0" w:tplc="081A0011">
      <w:start w:val="1"/>
      <w:numFmt w:val="decimal"/>
      <w:lvlText w:val="%1)"/>
      <w:lvlJc w:val="left"/>
      <w:pPr>
        <w:tabs>
          <w:tab w:val="num" w:pos="1287"/>
        </w:tabs>
        <w:ind w:left="1287" w:hanging="360"/>
      </w:pPr>
    </w:lvl>
    <w:lvl w:ilvl="1" w:tplc="081A0019" w:tentative="1">
      <w:start w:val="1"/>
      <w:numFmt w:val="lowerLetter"/>
      <w:lvlText w:val="%2."/>
      <w:lvlJc w:val="left"/>
      <w:pPr>
        <w:tabs>
          <w:tab w:val="num" w:pos="2007"/>
        </w:tabs>
        <w:ind w:left="2007" w:hanging="360"/>
      </w:pPr>
    </w:lvl>
    <w:lvl w:ilvl="2" w:tplc="081A001B" w:tentative="1">
      <w:start w:val="1"/>
      <w:numFmt w:val="lowerRoman"/>
      <w:lvlText w:val="%3."/>
      <w:lvlJc w:val="right"/>
      <w:pPr>
        <w:tabs>
          <w:tab w:val="num" w:pos="2727"/>
        </w:tabs>
        <w:ind w:left="2727" w:hanging="180"/>
      </w:pPr>
    </w:lvl>
    <w:lvl w:ilvl="3" w:tplc="081A000F" w:tentative="1">
      <w:start w:val="1"/>
      <w:numFmt w:val="decimal"/>
      <w:lvlText w:val="%4."/>
      <w:lvlJc w:val="left"/>
      <w:pPr>
        <w:tabs>
          <w:tab w:val="num" w:pos="3447"/>
        </w:tabs>
        <w:ind w:left="3447" w:hanging="360"/>
      </w:pPr>
    </w:lvl>
    <w:lvl w:ilvl="4" w:tplc="081A0019" w:tentative="1">
      <w:start w:val="1"/>
      <w:numFmt w:val="lowerLetter"/>
      <w:lvlText w:val="%5."/>
      <w:lvlJc w:val="left"/>
      <w:pPr>
        <w:tabs>
          <w:tab w:val="num" w:pos="4167"/>
        </w:tabs>
        <w:ind w:left="4167" w:hanging="360"/>
      </w:pPr>
    </w:lvl>
    <w:lvl w:ilvl="5" w:tplc="081A001B" w:tentative="1">
      <w:start w:val="1"/>
      <w:numFmt w:val="lowerRoman"/>
      <w:lvlText w:val="%6."/>
      <w:lvlJc w:val="right"/>
      <w:pPr>
        <w:tabs>
          <w:tab w:val="num" w:pos="4887"/>
        </w:tabs>
        <w:ind w:left="4887" w:hanging="180"/>
      </w:pPr>
    </w:lvl>
    <w:lvl w:ilvl="6" w:tplc="081A000F" w:tentative="1">
      <w:start w:val="1"/>
      <w:numFmt w:val="decimal"/>
      <w:lvlText w:val="%7."/>
      <w:lvlJc w:val="left"/>
      <w:pPr>
        <w:tabs>
          <w:tab w:val="num" w:pos="5607"/>
        </w:tabs>
        <w:ind w:left="5607" w:hanging="360"/>
      </w:pPr>
    </w:lvl>
    <w:lvl w:ilvl="7" w:tplc="081A0019" w:tentative="1">
      <w:start w:val="1"/>
      <w:numFmt w:val="lowerLetter"/>
      <w:lvlText w:val="%8."/>
      <w:lvlJc w:val="left"/>
      <w:pPr>
        <w:tabs>
          <w:tab w:val="num" w:pos="6327"/>
        </w:tabs>
        <w:ind w:left="6327" w:hanging="360"/>
      </w:pPr>
    </w:lvl>
    <w:lvl w:ilvl="8" w:tplc="081A001B" w:tentative="1">
      <w:start w:val="1"/>
      <w:numFmt w:val="lowerRoman"/>
      <w:lvlText w:val="%9."/>
      <w:lvlJc w:val="right"/>
      <w:pPr>
        <w:tabs>
          <w:tab w:val="num" w:pos="7047"/>
        </w:tabs>
        <w:ind w:left="7047" w:hanging="180"/>
      </w:pPr>
    </w:lvl>
  </w:abstractNum>
  <w:abstractNum w:abstractNumId="9" w15:restartNumberingAfterBreak="0">
    <w:nsid w:val="2637575B"/>
    <w:multiLevelType w:val="hybridMultilevel"/>
    <w:tmpl w:val="153E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83E63"/>
    <w:multiLevelType w:val="hybridMultilevel"/>
    <w:tmpl w:val="41629ED2"/>
    <w:lvl w:ilvl="0" w:tplc="1BD8747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B5F284D"/>
    <w:multiLevelType w:val="hybridMultilevel"/>
    <w:tmpl w:val="7E68E414"/>
    <w:lvl w:ilvl="0" w:tplc="895874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D4BD2"/>
    <w:multiLevelType w:val="hybridMultilevel"/>
    <w:tmpl w:val="E1587ED2"/>
    <w:lvl w:ilvl="0" w:tplc="895874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94EBD"/>
    <w:multiLevelType w:val="hybridMultilevel"/>
    <w:tmpl w:val="B70E2788"/>
    <w:lvl w:ilvl="0" w:tplc="4BD81F0E">
      <w:start w:val="1"/>
      <w:numFmt w:val="upperRoman"/>
      <w:lvlText w:val="%1."/>
      <w:lvlJc w:val="left"/>
      <w:pPr>
        <w:ind w:left="2160" w:hanging="72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15:restartNumberingAfterBreak="0">
    <w:nsid w:val="4ECC3154"/>
    <w:multiLevelType w:val="hybridMultilevel"/>
    <w:tmpl w:val="5EB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25211"/>
    <w:multiLevelType w:val="hybridMultilevel"/>
    <w:tmpl w:val="548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064EB"/>
    <w:multiLevelType w:val="hybridMultilevel"/>
    <w:tmpl w:val="38A8D7F0"/>
    <w:lvl w:ilvl="0" w:tplc="4BD81F0E">
      <w:start w:val="1"/>
      <w:numFmt w:val="upperRoman"/>
      <w:lvlText w:val="%1."/>
      <w:lvlJc w:val="left"/>
      <w:pPr>
        <w:ind w:left="2160" w:hanging="72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6F7241F7"/>
    <w:multiLevelType w:val="hybridMultilevel"/>
    <w:tmpl w:val="DB723332"/>
    <w:lvl w:ilvl="0" w:tplc="8958749A">
      <w:start w:val="1"/>
      <w:numFmt w:val="bullet"/>
      <w:lvlText w:val="•"/>
      <w:lvlJc w:val="left"/>
      <w:pPr>
        <w:tabs>
          <w:tab w:val="num" w:pos="720"/>
        </w:tabs>
        <w:ind w:left="720" w:hanging="360"/>
      </w:pPr>
      <w:rPr>
        <w:rFonts w:ascii="Arial" w:hAnsi="Arial" w:hint="default"/>
      </w:rPr>
    </w:lvl>
    <w:lvl w:ilvl="1" w:tplc="D67C14D0" w:tentative="1">
      <w:start w:val="1"/>
      <w:numFmt w:val="bullet"/>
      <w:lvlText w:val="•"/>
      <w:lvlJc w:val="left"/>
      <w:pPr>
        <w:tabs>
          <w:tab w:val="num" w:pos="1440"/>
        </w:tabs>
        <w:ind w:left="1440" w:hanging="360"/>
      </w:pPr>
      <w:rPr>
        <w:rFonts w:ascii="Arial" w:hAnsi="Arial" w:hint="default"/>
      </w:rPr>
    </w:lvl>
    <w:lvl w:ilvl="2" w:tplc="AE882744" w:tentative="1">
      <w:start w:val="1"/>
      <w:numFmt w:val="bullet"/>
      <w:lvlText w:val="•"/>
      <w:lvlJc w:val="left"/>
      <w:pPr>
        <w:tabs>
          <w:tab w:val="num" w:pos="2160"/>
        </w:tabs>
        <w:ind w:left="2160" w:hanging="360"/>
      </w:pPr>
      <w:rPr>
        <w:rFonts w:ascii="Arial" w:hAnsi="Arial" w:hint="default"/>
      </w:rPr>
    </w:lvl>
    <w:lvl w:ilvl="3" w:tplc="E558DBFC" w:tentative="1">
      <w:start w:val="1"/>
      <w:numFmt w:val="bullet"/>
      <w:lvlText w:val="•"/>
      <w:lvlJc w:val="left"/>
      <w:pPr>
        <w:tabs>
          <w:tab w:val="num" w:pos="2880"/>
        </w:tabs>
        <w:ind w:left="2880" w:hanging="360"/>
      </w:pPr>
      <w:rPr>
        <w:rFonts w:ascii="Arial" w:hAnsi="Arial" w:hint="default"/>
      </w:rPr>
    </w:lvl>
    <w:lvl w:ilvl="4" w:tplc="E820B02A" w:tentative="1">
      <w:start w:val="1"/>
      <w:numFmt w:val="bullet"/>
      <w:lvlText w:val="•"/>
      <w:lvlJc w:val="left"/>
      <w:pPr>
        <w:tabs>
          <w:tab w:val="num" w:pos="3600"/>
        </w:tabs>
        <w:ind w:left="3600" w:hanging="360"/>
      </w:pPr>
      <w:rPr>
        <w:rFonts w:ascii="Arial" w:hAnsi="Arial" w:hint="default"/>
      </w:rPr>
    </w:lvl>
    <w:lvl w:ilvl="5" w:tplc="B7EEBD5E" w:tentative="1">
      <w:start w:val="1"/>
      <w:numFmt w:val="bullet"/>
      <w:lvlText w:val="•"/>
      <w:lvlJc w:val="left"/>
      <w:pPr>
        <w:tabs>
          <w:tab w:val="num" w:pos="4320"/>
        </w:tabs>
        <w:ind w:left="4320" w:hanging="360"/>
      </w:pPr>
      <w:rPr>
        <w:rFonts w:ascii="Arial" w:hAnsi="Arial" w:hint="default"/>
      </w:rPr>
    </w:lvl>
    <w:lvl w:ilvl="6" w:tplc="6816909A" w:tentative="1">
      <w:start w:val="1"/>
      <w:numFmt w:val="bullet"/>
      <w:lvlText w:val="•"/>
      <w:lvlJc w:val="left"/>
      <w:pPr>
        <w:tabs>
          <w:tab w:val="num" w:pos="5040"/>
        </w:tabs>
        <w:ind w:left="5040" w:hanging="360"/>
      </w:pPr>
      <w:rPr>
        <w:rFonts w:ascii="Arial" w:hAnsi="Arial" w:hint="default"/>
      </w:rPr>
    </w:lvl>
    <w:lvl w:ilvl="7" w:tplc="0344A52A" w:tentative="1">
      <w:start w:val="1"/>
      <w:numFmt w:val="bullet"/>
      <w:lvlText w:val="•"/>
      <w:lvlJc w:val="left"/>
      <w:pPr>
        <w:tabs>
          <w:tab w:val="num" w:pos="5760"/>
        </w:tabs>
        <w:ind w:left="5760" w:hanging="360"/>
      </w:pPr>
      <w:rPr>
        <w:rFonts w:ascii="Arial" w:hAnsi="Arial" w:hint="default"/>
      </w:rPr>
    </w:lvl>
    <w:lvl w:ilvl="8" w:tplc="E72649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521B77"/>
    <w:multiLevelType w:val="hybridMultilevel"/>
    <w:tmpl w:val="CE508D58"/>
    <w:lvl w:ilvl="0" w:tplc="8958749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EB32CC"/>
    <w:multiLevelType w:val="hybridMultilevel"/>
    <w:tmpl w:val="E55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5"/>
  </w:num>
  <w:num w:numId="4">
    <w:abstractNumId w:val="1"/>
  </w:num>
  <w:num w:numId="5">
    <w:abstractNumId w:val="17"/>
  </w:num>
  <w:num w:numId="6">
    <w:abstractNumId w:val="11"/>
  </w:num>
  <w:num w:numId="7">
    <w:abstractNumId w:val="6"/>
  </w:num>
  <w:num w:numId="8">
    <w:abstractNumId w:val="3"/>
  </w:num>
  <w:num w:numId="9">
    <w:abstractNumId w:val="18"/>
  </w:num>
  <w:num w:numId="10">
    <w:abstractNumId w:val="8"/>
  </w:num>
  <w:num w:numId="11">
    <w:abstractNumId w:val="2"/>
  </w:num>
  <w:num w:numId="12">
    <w:abstractNumId w:val="10"/>
  </w:num>
  <w:num w:numId="13">
    <w:abstractNumId w:val="0"/>
  </w:num>
  <w:num w:numId="14">
    <w:abstractNumId w:val="4"/>
  </w:num>
  <w:num w:numId="15">
    <w:abstractNumId w:val="13"/>
  </w:num>
  <w:num w:numId="16">
    <w:abstractNumId w:val="5"/>
  </w:num>
  <w:num w:numId="17">
    <w:abstractNumId w:val="16"/>
  </w:num>
  <w:num w:numId="18">
    <w:abstractNumId w:val="9"/>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E1"/>
    <w:rsid w:val="00013C05"/>
    <w:rsid w:val="00022EE0"/>
    <w:rsid w:val="000268AD"/>
    <w:rsid w:val="00032726"/>
    <w:rsid w:val="00045A3F"/>
    <w:rsid w:val="00045C6F"/>
    <w:rsid w:val="00057212"/>
    <w:rsid w:val="000756D1"/>
    <w:rsid w:val="00080F1B"/>
    <w:rsid w:val="000854FE"/>
    <w:rsid w:val="00093743"/>
    <w:rsid w:val="00097220"/>
    <w:rsid w:val="000A1449"/>
    <w:rsid w:val="000A3387"/>
    <w:rsid w:val="000A53E6"/>
    <w:rsid w:val="000A5A6B"/>
    <w:rsid w:val="000B0583"/>
    <w:rsid w:val="000C368C"/>
    <w:rsid w:val="000C39B6"/>
    <w:rsid w:val="000C4433"/>
    <w:rsid w:val="000C63F7"/>
    <w:rsid w:val="000D23D6"/>
    <w:rsid w:val="000D6E96"/>
    <w:rsid w:val="000E207B"/>
    <w:rsid w:val="000E4F84"/>
    <w:rsid w:val="000F35D1"/>
    <w:rsid w:val="00105105"/>
    <w:rsid w:val="00105E30"/>
    <w:rsid w:val="001121EE"/>
    <w:rsid w:val="00113B14"/>
    <w:rsid w:val="0011724A"/>
    <w:rsid w:val="00121548"/>
    <w:rsid w:val="00142A90"/>
    <w:rsid w:val="0015394B"/>
    <w:rsid w:val="00153B43"/>
    <w:rsid w:val="00164D56"/>
    <w:rsid w:val="001A1376"/>
    <w:rsid w:val="001A2B01"/>
    <w:rsid w:val="001A4FBA"/>
    <w:rsid w:val="001B7DBC"/>
    <w:rsid w:val="001C1E12"/>
    <w:rsid w:val="001C66A5"/>
    <w:rsid w:val="001E6801"/>
    <w:rsid w:val="001F0979"/>
    <w:rsid w:val="001F1456"/>
    <w:rsid w:val="00200DDA"/>
    <w:rsid w:val="00202012"/>
    <w:rsid w:val="0020631E"/>
    <w:rsid w:val="00211AA1"/>
    <w:rsid w:val="00220902"/>
    <w:rsid w:val="00241300"/>
    <w:rsid w:val="002430E1"/>
    <w:rsid w:val="0024774B"/>
    <w:rsid w:val="00251D62"/>
    <w:rsid w:val="00261E11"/>
    <w:rsid w:val="00275385"/>
    <w:rsid w:val="00283BC1"/>
    <w:rsid w:val="00283F12"/>
    <w:rsid w:val="002863A5"/>
    <w:rsid w:val="00292B9D"/>
    <w:rsid w:val="002A2254"/>
    <w:rsid w:val="002A3077"/>
    <w:rsid w:val="002A4C45"/>
    <w:rsid w:val="002C5870"/>
    <w:rsid w:val="002C70A9"/>
    <w:rsid w:val="002D1223"/>
    <w:rsid w:val="002D702F"/>
    <w:rsid w:val="002E66A6"/>
    <w:rsid w:val="002F7252"/>
    <w:rsid w:val="003016B6"/>
    <w:rsid w:val="00304DC3"/>
    <w:rsid w:val="0030684A"/>
    <w:rsid w:val="00310909"/>
    <w:rsid w:val="00320F31"/>
    <w:rsid w:val="00330757"/>
    <w:rsid w:val="00343D94"/>
    <w:rsid w:val="00347635"/>
    <w:rsid w:val="0035102C"/>
    <w:rsid w:val="00351516"/>
    <w:rsid w:val="00357FB3"/>
    <w:rsid w:val="00360C6E"/>
    <w:rsid w:val="00362A3D"/>
    <w:rsid w:val="003744E7"/>
    <w:rsid w:val="0039772C"/>
    <w:rsid w:val="003A5BB2"/>
    <w:rsid w:val="003B6418"/>
    <w:rsid w:val="003B7E7E"/>
    <w:rsid w:val="003C0761"/>
    <w:rsid w:val="003C4515"/>
    <w:rsid w:val="003D5020"/>
    <w:rsid w:val="003E20B7"/>
    <w:rsid w:val="003E2DE7"/>
    <w:rsid w:val="003F08B8"/>
    <w:rsid w:val="003F227D"/>
    <w:rsid w:val="003F5205"/>
    <w:rsid w:val="003F6E9B"/>
    <w:rsid w:val="00403679"/>
    <w:rsid w:val="00430A9D"/>
    <w:rsid w:val="00440805"/>
    <w:rsid w:val="004544CD"/>
    <w:rsid w:val="00456F8B"/>
    <w:rsid w:val="004643B2"/>
    <w:rsid w:val="00464BC6"/>
    <w:rsid w:val="00464E06"/>
    <w:rsid w:val="004715FF"/>
    <w:rsid w:val="0048004A"/>
    <w:rsid w:val="004A2118"/>
    <w:rsid w:val="004A61E6"/>
    <w:rsid w:val="004B0CF9"/>
    <w:rsid w:val="004B701E"/>
    <w:rsid w:val="004D1650"/>
    <w:rsid w:val="004D3B7E"/>
    <w:rsid w:val="004D77DC"/>
    <w:rsid w:val="004E6080"/>
    <w:rsid w:val="004F27DA"/>
    <w:rsid w:val="00514669"/>
    <w:rsid w:val="00516D44"/>
    <w:rsid w:val="00520809"/>
    <w:rsid w:val="00520F85"/>
    <w:rsid w:val="005233F7"/>
    <w:rsid w:val="00542B3D"/>
    <w:rsid w:val="00543649"/>
    <w:rsid w:val="00545675"/>
    <w:rsid w:val="005520C5"/>
    <w:rsid w:val="005571BE"/>
    <w:rsid w:val="00557259"/>
    <w:rsid w:val="00567D27"/>
    <w:rsid w:val="005747F0"/>
    <w:rsid w:val="0057688F"/>
    <w:rsid w:val="00580131"/>
    <w:rsid w:val="005B5ADF"/>
    <w:rsid w:val="005B720B"/>
    <w:rsid w:val="005C012C"/>
    <w:rsid w:val="005C29B5"/>
    <w:rsid w:val="005D10F3"/>
    <w:rsid w:val="005D37E7"/>
    <w:rsid w:val="005D5F64"/>
    <w:rsid w:val="005F6567"/>
    <w:rsid w:val="005F6681"/>
    <w:rsid w:val="006072F8"/>
    <w:rsid w:val="0062106D"/>
    <w:rsid w:val="00623C84"/>
    <w:rsid w:val="00625958"/>
    <w:rsid w:val="00625EA3"/>
    <w:rsid w:val="006354F6"/>
    <w:rsid w:val="00643E17"/>
    <w:rsid w:val="006458D1"/>
    <w:rsid w:val="00645ACD"/>
    <w:rsid w:val="00653B76"/>
    <w:rsid w:val="0065779C"/>
    <w:rsid w:val="00667657"/>
    <w:rsid w:val="00672C9B"/>
    <w:rsid w:val="00687FCC"/>
    <w:rsid w:val="00692F16"/>
    <w:rsid w:val="006A17BD"/>
    <w:rsid w:val="006B3879"/>
    <w:rsid w:val="006B4CD7"/>
    <w:rsid w:val="006B6049"/>
    <w:rsid w:val="006C2766"/>
    <w:rsid w:val="006C647C"/>
    <w:rsid w:val="006E697B"/>
    <w:rsid w:val="00700673"/>
    <w:rsid w:val="007211B2"/>
    <w:rsid w:val="007211F1"/>
    <w:rsid w:val="007241F0"/>
    <w:rsid w:val="00731C1D"/>
    <w:rsid w:val="00732090"/>
    <w:rsid w:val="0074248F"/>
    <w:rsid w:val="0074419E"/>
    <w:rsid w:val="00751761"/>
    <w:rsid w:val="00753F90"/>
    <w:rsid w:val="0075616C"/>
    <w:rsid w:val="00760F3E"/>
    <w:rsid w:val="00762A96"/>
    <w:rsid w:val="00767EE5"/>
    <w:rsid w:val="00770D3B"/>
    <w:rsid w:val="00777CE8"/>
    <w:rsid w:val="0079576E"/>
    <w:rsid w:val="007A677A"/>
    <w:rsid w:val="007B1928"/>
    <w:rsid w:val="007C5E86"/>
    <w:rsid w:val="007C65B1"/>
    <w:rsid w:val="007C6620"/>
    <w:rsid w:val="007D0697"/>
    <w:rsid w:val="007F59A8"/>
    <w:rsid w:val="007F76D9"/>
    <w:rsid w:val="00804042"/>
    <w:rsid w:val="00823D93"/>
    <w:rsid w:val="00836A24"/>
    <w:rsid w:val="008449DD"/>
    <w:rsid w:val="00856148"/>
    <w:rsid w:val="008577BA"/>
    <w:rsid w:val="00860B47"/>
    <w:rsid w:val="0087116A"/>
    <w:rsid w:val="00883FA4"/>
    <w:rsid w:val="008C28A4"/>
    <w:rsid w:val="008C5437"/>
    <w:rsid w:val="008D16C8"/>
    <w:rsid w:val="008D28E0"/>
    <w:rsid w:val="008E073F"/>
    <w:rsid w:val="008E1C8C"/>
    <w:rsid w:val="008E54CF"/>
    <w:rsid w:val="008E6034"/>
    <w:rsid w:val="00904F1E"/>
    <w:rsid w:val="00912853"/>
    <w:rsid w:val="009178AA"/>
    <w:rsid w:val="009343A9"/>
    <w:rsid w:val="00936602"/>
    <w:rsid w:val="00937CF1"/>
    <w:rsid w:val="00941550"/>
    <w:rsid w:val="0094177C"/>
    <w:rsid w:val="00944123"/>
    <w:rsid w:val="009505CA"/>
    <w:rsid w:val="00965ACA"/>
    <w:rsid w:val="0097274A"/>
    <w:rsid w:val="00973F37"/>
    <w:rsid w:val="00974134"/>
    <w:rsid w:val="0098551B"/>
    <w:rsid w:val="0099027A"/>
    <w:rsid w:val="009A049A"/>
    <w:rsid w:val="009A1F58"/>
    <w:rsid w:val="009B28A0"/>
    <w:rsid w:val="009B7D08"/>
    <w:rsid w:val="009C3677"/>
    <w:rsid w:val="009D7ABB"/>
    <w:rsid w:val="009E78F7"/>
    <w:rsid w:val="009F0374"/>
    <w:rsid w:val="00A14B58"/>
    <w:rsid w:val="00A16010"/>
    <w:rsid w:val="00A206F5"/>
    <w:rsid w:val="00A249BF"/>
    <w:rsid w:val="00A27B6E"/>
    <w:rsid w:val="00A43C99"/>
    <w:rsid w:val="00A55FEA"/>
    <w:rsid w:val="00A60A29"/>
    <w:rsid w:val="00A70C0B"/>
    <w:rsid w:val="00A733F1"/>
    <w:rsid w:val="00A80C02"/>
    <w:rsid w:val="00A90A42"/>
    <w:rsid w:val="00AA04AA"/>
    <w:rsid w:val="00AA6265"/>
    <w:rsid w:val="00AB19AF"/>
    <w:rsid w:val="00AB4A91"/>
    <w:rsid w:val="00AC443B"/>
    <w:rsid w:val="00AC4DB4"/>
    <w:rsid w:val="00AC7803"/>
    <w:rsid w:val="00AD1767"/>
    <w:rsid w:val="00AD4595"/>
    <w:rsid w:val="00AE7229"/>
    <w:rsid w:val="00AE7E3B"/>
    <w:rsid w:val="00AF0092"/>
    <w:rsid w:val="00AF1B45"/>
    <w:rsid w:val="00AF4E70"/>
    <w:rsid w:val="00AF5BAE"/>
    <w:rsid w:val="00AF6855"/>
    <w:rsid w:val="00B01084"/>
    <w:rsid w:val="00B04C60"/>
    <w:rsid w:val="00B145D2"/>
    <w:rsid w:val="00B328CB"/>
    <w:rsid w:val="00B364EC"/>
    <w:rsid w:val="00B50CB1"/>
    <w:rsid w:val="00B63BC6"/>
    <w:rsid w:val="00B74172"/>
    <w:rsid w:val="00B75CA4"/>
    <w:rsid w:val="00B77506"/>
    <w:rsid w:val="00B807E8"/>
    <w:rsid w:val="00B851C9"/>
    <w:rsid w:val="00B929B2"/>
    <w:rsid w:val="00B97F48"/>
    <w:rsid w:val="00BA5E18"/>
    <w:rsid w:val="00BA6E3B"/>
    <w:rsid w:val="00BB709F"/>
    <w:rsid w:val="00BC5BB7"/>
    <w:rsid w:val="00BC726A"/>
    <w:rsid w:val="00BD0EE9"/>
    <w:rsid w:val="00BE0F84"/>
    <w:rsid w:val="00BE5B43"/>
    <w:rsid w:val="00BF2E61"/>
    <w:rsid w:val="00C04518"/>
    <w:rsid w:val="00C13709"/>
    <w:rsid w:val="00C13EAA"/>
    <w:rsid w:val="00C30EF1"/>
    <w:rsid w:val="00C31093"/>
    <w:rsid w:val="00C42597"/>
    <w:rsid w:val="00C433B1"/>
    <w:rsid w:val="00C44077"/>
    <w:rsid w:val="00C53551"/>
    <w:rsid w:val="00C65C5A"/>
    <w:rsid w:val="00C7674E"/>
    <w:rsid w:val="00C818F5"/>
    <w:rsid w:val="00C83DB9"/>
    <w:rsid w:val="00CA4191"/>
    <w:rsid w:val="00CB0332"/>
    <w:rsid w:val="00CB0816"/>
    <w:rsid w:val="00CB3C99"/>
    <w:rsid w:val="00CB5BE6"/>
    <w:rsid w:val="00CC0FC8"/>
    <w:rsid w:val="00CD2C20"/>
    <w:rsid w:val="00CE7308"/>
    <w:rsid w:val="00CF183A"/>
    <w:rsid w:val="00CF3184"/>
    <w:rsid w:val="00D0085B"/>
    <w:rsid w:val="00D01807"/>
    <w:rsid w:val="00D103E1"/>
    <w:rsid w:val="00D1224C"/>
    <w:rsid w:val="00D1611A"/>
    <w:rsid w:val="00D30FFB"/>
    <w:rsid w:val="00D31551"/>
    <w:rsid w:val="00D340E9"/>
    <w:rsid w:val="00D42084"/>
    <w:rsid w:val="00D432FC"/>
    <w:rsid w:val="00D65986"/>
    <w:rsid w:val="00D91B1F"/>
    <w:rsid w:val="00D947FB"/>
    <w:rsid w:val="00DA1117"/>
    <w:rsid w:val="00DA1B54"/>
    <w:rsid w:val="00DB0D3D"/>
    <w:rsid w:val="00DB6982"/>
    <w:rsid w:val="00DC043B"/>
    <w:rsid w:val="00DD26A9"/>
    <w:rsid w:val="00DE02AC"/>
    <w:rsid w:val="00E13F5D"/>
    <w:rsid w:val="00E15B9C"/>
    <w:rsid w:val="00E16316"/>
    <w:rsid w:val="00E242E1"/>
    <w:rsid w:val="00E34380"/>
    <w:rsid w:val="00E351B8"/>
    <w:rsid w:val="00E42CF5"/>
    <w:rsid w:val="00E51D98"/>
    <w:rsid w:val="00E54516"/>
    <w:rsid w:val="00E60A79"/>
    <w:rsid w:val="00E6309C"/>
    <w:rsid w:val="00E73CE7"/>
    <w:rsid w:val="00E76320"/>
    <w:rsid w:val="00E815D6"/>
    <w:rsid w:val="00E82C12"/>
    <w:rsid w:val="00E84070"/>
    <w:rsid w:val="00E8622F"/>
    <w:rsid w:val="00E92858"/>
    <w:rsid w:val="00E9612A"/>
    <w:rsid w:val="00E96926"/>
    <w:rsid w:val="00E96F74"/>
    <w:rsid w:val="00EA7C67"/>
    <w:rsid w:val="00EB2C85"/>
    <w:rsid w:val="00EB6020"/>
    <w:rsid w:val="00EB6597"/>
    <w:rsid w:val="00EC1F8F"/>
    <w:rsid w:val="00ED241D"/>
    <w:rsid w:val="00ED757B"/>
    <w:rsid w:val="00EF0C47"/>
    <w:rsid w:val="00EF0CEA"/>
    <w:rsid w:val="00EF56A5"/>
    <w:rsid w:val="00F02427"/>
    <w:rsid w:val="00F06039"/>
    <w:rsid w:val="00F12056"/>
    <w:rsid w:val="00F1710F"/>
    <w:rsid w:val="00F20520"/>
    <w:rsid w:val="00F22799"/>
    <w:rsid w:val="00F261BE"/>
    <w:rsid w:val="00F50A7A"/>
    <w:rsid w:val="00F56233"/>
    <w:rsid w:val="00F65FE5"/>
    <w:rsid w:val="00F75DD5"/>
    <w:rsid w:val="00F76E55"/>
    <w:rsid w:val="00F83666"/>
    <w:rsid w:val="00FA4285"/>
    <w:rsid w:val="00FA50B1"/>
    <w:rsid w:val="00FB00F0"/>
    <w:rsid w:val="00FB387D"/>
    <w:rsid w:val="00FB6DED"/>
    <w:rsid w:val="00FC3472"/>
    <w:rsid w:val="00FC7ACC"/>
    <w:rsid w:val="00FD67E1"/>
    <w:rsid w:val="00FE3148"/>
    <w:rsid w:val="00FE76C9"/>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70DFB-561E-4D95-BAFC-2ECFF636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00"/>
    <w:pPr>
      <w:ind w:left="720"/>
      <w:contextualSpacing/>
    </w:pPr>
  </w:style>
  <w:style w:type="paragraph" w:styleId="NormalWeb">
    <w:name w:val="Normal (Web)"/>
    <w:basedOn w:val="Normal"/>
    <w:uiPriority w:val="99"/>
    <w:unhideWhenUsed/>
    <w:rsid w:val="00760F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86"/>
    <w:rPr>
      <w:rFonts w:ascii="Tahoma" w:hAnsi="Tahoma" w:cs="Tahoma"/>
      <w:sz w:val="16"/>
      <w:szCs w:val="16"/>
    </w:rPr>
  </w:style>
  <w:style w:type="paragraph" w:styleId="Footer">
    <w:name w:val="footer"/>
    <w:basedOn w:val="Normal"/>
    <w:link w:val="FooterChar"/>
    <w:rsid w:val="006354F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354F6"/>
    <w:rPr>
      <w:rFonts w:ascii="Times New Roman" w:eastAsia="Times New Roman" w:hAnsi="Times New Roman" w:cs="Times New Roman"/>
      <w:sz w:val="24"/>
      <w:szCs w:val="24"/>
      <w:lang w:eastAsia="en-GB"/>
    </w:rPr>
  </w:style>
  <w:style w:type="paragraph" w:styleId="Caption">
    <w:name w:val="caption"/>
    <w:basedOn w:val="Normal"/>
    <w:next w:val="Normal"/>
    <w:qFormat/>
    <w:rsid w:val="00AC443B"/>
    <w:pPr>
      <w:spacing w:after="0" w:line="240" w:lineRule="auto"/>
    </w:pPr>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F1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0F"/>
  </w:style>
  <w:style w:type="table" w:styleId="TableGrid">
    <w:name w:val="Table Grid"/>
    <w:basedOn w:val="TableNormal"/>
    <w:uiPriority w:val="59"/>
    <w:rsid w:val="0010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E3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B00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1942">
      <w:bodyDiv w:val="1"/>
      <w:marLeft w:val="0"/>
      <w:marRight w:val="0"/>
      <w:marTop w:val="0"/>
      <w:marBottom w:val="0"/>
      <w:divBdr>
        <w:top w:val="none" w:sz="0" w:space="0" w:color="auto"/>
        <w:left w:val="none" w:sz="0" w:space="0" w:color="auto"/>
        <w:bottom w:val="none" w:sz="0" w:space="0" w:color="auto"/>
        <w:right w:val="none" w:sz="0" w:space="0" w:color="auto"/>
      </w:divBdr>
      <w:divsChild>
        <w:div w:id="347105061">
          <w:marLeft w:val="432"/>
          <w:marRight w:val="0"/>
          <w:marTop w:val="120"/>
          <w:marBottom w:val="0"/>
          <w:divBdr>
            <w:top w:val="none" w:sz="0" w:space="0" w:color="auto"/>
            <w:left w:val="none" w:sz="0" w:space="0" w:color="auto"/>
            <w:bottom w:val="none" w:sz="0" w:space="0" w:color="auto"/>
            <w:right w:val="none" w:sz="0" w:space="0" w:color="auto"/>
          </w:divBdr>
        </w:div>
        <w:div w:id="1174346190">
          <w:marLeft w:val="432"/>
          <w:marRight w:val="0"/>
          <w:marTop w:val="120"/>
          <w:marBottom w:val="0"/>
          <w:divBdr>
            <w:top w:val="none" w:sz="0" w:space="0" w:color="auto"/>
            <w:left w:val="none" w:sz="0" w:space="0" w:color="auto"/>
            <w:bottom w:val="none" w:sz="0" w:space="0" w:color="auto"/>
            <w:right w:val="none" w:sz="0" w:space="0" w:color="auto"/>
          </w:divBdr>
        </w:div>
      </w:divsChild>
    </w:div>
    <w:div w:id="222955526">
      <w:bodyDiv w:val="1"/>
      <w:marLeft w:val="0"/>
      <w:marRight w:val="0"/>
      <w:marTop w:val="0"/>
      <w:marBottom w:val="0"/>
      <w:divBdr>
        <w:top w:val="none" w:sz="0" w:space="0" w:color="auto"/>
        <w:left w:val="none" w:sz="0" w:space="0" w:color="auto"/>
        <w:bottom w:val="none" w:sz="0" w:space="0" w:color="auto"/>
        <w:right w:val="none" w:sz="0" w:space="0" w:color="auto"/>
      </w:divBdr>
    </w:div>
    <w:div w:id="718090228">
      <w:bodyDiv w:val="1"/>
      <w:marLeft w:val="0"/>
      <w:marRight w:val="0"/>
      <w:marTop w:val="0"/>
      <w:marBottom w:val="0"/>
      <w:divBdr>
        <w:top w:val="none" w:sz="0" w:space="0" w:color="auto"/>
        <w:left w:val="none" w:sz="0" w:space="0" w:color="auto"/>
        <w:bottom w:val="none" w:sz="0" w:space="0" w:color="auto"/>
        <w:right w:val="none" w:sz="0" w:space="0" w:color="auto"/>
      </w:divBdr>
    </w:div>
    <w:div w:id="1193567334">
      <w:bodyDiv w:val="1"/>
      <w:marLeft w:val="0"/>
      <w:marRight w:val="0"/>
      <w:marTop w:val="0"/>
      <w:marBottom w:val="0"/>
      <w:divBdr>
        <w:top w:val="none" w:sz="0" w:space="0" w:color="auto"/>
        <w:left w:val="none" w:sz="0" w:space="0" w:color="auto"/>
        <w:bottom w:val="none" w:sz="0" w:space="0" w:color="auto"/>
        <w:right w:val="none" w:sz="0" w:space="0" w:color="auto"/>
      </w:divBdr>
    </w:div>
    <w:div w:id="1371613762">
      <w:bodyDiv w:val="1"/>
      <w:marLeft w:val="0"/>
      <w:marRight w:val="0"/>
      <w:marTop w:val="0"/>
      <w:marBottom w:val="0"/>
      <w:divBdr>
        <w:top w:val="none" w:sz="0" w:space="0" w:color="auto"/>
        <w:left w:val="none" w:sz="0" w:space="0" w:color="auto"/>
        <w:bottom w:val="none" w:sz="0" w:space="0" w:color="auto"/>
        <w:right w:val="none" w:sz="0" w:space="0" w:color="auto"/>
      </w:divBdr>
    </w:div>
    <w:div w:id="1832793818">
      <w:bodyDiv w:val="1"/>
      <w:marLeft w:val="0"/>
      <w:marRight w:val="0"/>
      <w:marTop w:val="0"/>
      <w:marBottom w:val="0"/>
      <w:divBdr>
        <w:top w:val="none" w:sz="0" w:space="0" w:color="auto"/>
        <w:left w:val="none" w:sz="0" w:space="0" w:color="auto"/>
        <w:bottom w:val="none" w:sz="0" w:space="0" w:color="auto"/>
        <w:right w:val="none" w:sz="0" w:space="0" w:color="auto"/>
      </w:divBdr>
      <w:divsChild>
        <w:div w:id="1791775552">
          <w:marLeft w:val="547"/>
          <w:marRight w:val="0"/>
          <w:marTop w:val="86"/>
          <w:marBottom w:val="0"/>
          <w:divBdr>
            <w:top w:val="none" w:sz="0" w:space="0" w:color="auto"/>
            <w:left w:val="none" w:sz="0" w:space="0" w:color="auto"/>
            <w:bottom w:val="none" w:sz="0" w:space="0" w:color="auto"/>
            <w:right w:val="none" w:sz="0" w:space="0" w:color="auto"/>
          </w:divBdr>
        </w:div>
        <w:div w:id="636185399">
          <w:marLeft w:val="1166"/>
          <w:marRight w:val="0"/>
          <w:marTop w:val="77"/>
          <w:marBottom w:val="0"/>
          <w:divBdr>
            <w:top w:val="none" w:sz="0" w:space="0" w:color="auto"/>
            <w:left w:val="none" w:sz="0" w:space="0" w:color="auto"/>
            <w:bottom w:val="none" w:sz="0" w:space="0" w:color="auto"/>
            <w:right w:val="none" w:sz="0" w:space="0" w:color="auto"/>
          </w:divBdr>
        </w:div>
        <w:div w:id="1882476779">
          <w:marLeft w:val="1166"/>
          <w:marRight w:val="0"/>
          <w:marTop w:val="77"/>
          <w:marBottom w:val="0"/>
          <w:divBdr>
            <w:top w:val="none" w:sz="0" w:space="0" w:color="auto"/>
            <w:left w:val="none" w:sz="0" w:space="0" w:color="auto"/>
            <w:bottom w:val="none" w:sz="0" w:space="0" w:color="auto"/>
            <w:right w:val="none" w:sz="0" w:space="0" w:color="auto"/>
          </w:divBdr>
        </w:div>
        <w:div w:id="1251936171">
          <w:marLeft w:val="1166"/>
          <w:marRight w:val="0"/>
          <w:marTop w:val="77"/>
          <w:marBottom w:val="0"/>
          <w:divBdr>
            <w:top w:val="none" w:sz="0" w:space="0" w:color="auto"/>
            <w:left w:val="none" w:sz="0" w:space="0" w:color="auto"/>
            <w:bottom w:val="none" w:sz="0" w:space="0" w:color="auto"/>
            <w:right w:val="none" w:sz="0" w:space="0" w:color="auto"/>
          </w:divBdr>
        </w:div>
        <w:div w:id="200423673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15</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dc:creator>
  <cp:lastModifiedBy>Svetlana Denic</cp:lastModifiedBy>
  <cp:revision>156</cp:revision>
  <dcterms:created xsi:type="dcterms:W3CDTF">2016-05-21T09:32:00Z</dcterms:created>
  <dcterms:modified xsi:type="dcterms:W3CDTF">2016-05-26T08:17:00Z</dcterms:modified>
</cp:coreProperties>
</file>