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11" w:rsidRDefault="00736011" w:rsidP="00736011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ЉИЉАНА КОМШИЋ</w:t>
      </w:r>
    </w:p>
    <w:p w:rsidR="00736011" w:rsidRDefault="00736011" w:rsidP="00736011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ПРЕДСЕДНИК ПРИВРЕДНОГ СУДА У </w:t>
      </w:r>
    </w:p>
    <w:p w:rsidR="00736011" w:rsidRDefault="00736011" w:rsidP="00736011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СРЕМСКОЈ МИТРОВИЦИ</w:t>
      </w:r>
    </w:p>
    <w:p w:rsidR="00736011" w:rsidRDefault="00736011" w:rsidP="00736011">
      <w:pPr>
        <w:jc w:val="center"/>
        <w:rPr>
          <w:rFonts w:ascii="Times New Roman" w:hAnsi="Times New Roman" w:cs="Times New Roman"/>
          <w:lang w:val="sr-Cyrl-CS"/>
        </w:rPr>
      </w:pPr>
    </w:p>
    <w:p w:rsidR="00736011" w:rsidRDefault="00736011" w:rsidP="00736011">
      <w:pPr>
        <w:jc w:val="center"/>
        <w:rPr>
          <w:rFonts w:ascii="Times New Roman" w:hAnsi="Times New Roman" w:cs="Times New Roman"/>
          <w:lang w:val="sr-Cyrl-CS"/>
        </w:rPr>
      </w:pPr>
    </w:p>
    <w:p w:rsidR="007B1764" w:rsidRPr="005C3B57" w:rsidRDefault="00736011" w:rsidP="00736011">
      <w:pPr>
        <w:jc w:val="center"/>
        <w:rPr>
          <w:rFonts w:ascii="Times New Roman" w:hAnsi="Times New Roman" w:cs="Times New Roman"/>
          <w:b/>
          <w:i/>
          <w:lang w:val="sr-Cyrl-CS"/>
        </w:rPr>
      </w:pPr>
      <w:r w:rsidRPr="005C3B57">
        <w:rPr>
          <w:rFonts w:ascii="Times New Roman" w:hAnsi="Times New Roman" w:cs="Times New Roman"/>
          <w:b/>
          <w:i/>
          <w:lang w:val="sr-Cyrl-CS"/>
        </w:rPr>
        <w:t>СТЕЧАЈНИ ПОСТУПАК</w:t>
      </w:r>
      <w:r w:rsidRPr="005C3B57">
        <w:rPr>
          <w:rFonts w:ascii="Times New Roman" w:hAnsi="Times New Roman" w:cs="Times New Roman"/>
          <w:b/>
          <w:i/>
          <w:lang w:val="sr-Cyrl-CS"/>
        </w:rPr>
        <w:br/>
      </w:r>
      <w:r w:rsidRPr="005C3B57">
        <w:rPr>
          <w:rFonts w:ascii="Times New Roman" w:hAnsi="Times New Roman" w:cs="Times New Roman"/>
          <w:b/>
          <w:i/>
          <w:lang w:val="sr-Cyrl-CS"/>
        </w:rPr>
        <w:br/>
        <w:t>ОСИГУРАЊЕ СИМОВИНЕ СТЕЧАЈНОГ ДУЖНИКА ОД РИЗИКА ПРОПАСТИ СТВАРИ ИЛИ УМАЊЕЊА ВРЕДНОСТИ</w:t>
      </w:r>
    </w:p>
    <w:p w:rsidR="0083040D" w:rsidRDefault="0083040D" w:rsidP="00736011">
      <w:pPr>
        <w:jc w:val="center"/>
        <w:rPr>
          <w:rFonts w:ascii="Times New Roman" w:hAnsi="Times New Roman" w:cs="Times New Roman"/>
          <w:lang w:val="sr-Cyrl-CS"/>
        </w:rPr>
      </w:pPr>
    </w:p>
    <w:p w:rsidR="0083040D" w:rsidRPr="005C3B57" w:rsidRDefault="0083040D">
      <w:pPr>
        <w:rPr>
          <w:rFonts w:ascii="Times New Roman" w:hAnsi="Times New Roman" w:cs="Times New Roman"/>
          <w:b/>
          <w:i/>
          <w:lang w:val="sr-Cyrl-CS"/>
        </w:rPr>
      </w:pPr>
    </w:p>
    <w:p w:rsidR="0083040D" w:rsidRPr="005C3B57" w:rsidRDefault="005C3B57">
      <w:pPr>
        <w:rPr>
          <w:rFonts w:ascii="Times New Roman" w:hAnsi="Times New Roman" w:cs="Times New Roman"/>
          <w:b/>
          <w:i/>
          <w:lang w:val="sr-Cyrl-CS"/>
        </w:rPr>
      </w:pPr>
      <w:r w:rsidRPr="005C3B57">
        <w:rPr>
          <w:rFonts w:ascii="Times New Roman" w:hAnsi="Times New Roman" w:cs="Times New Roman"/>
          <w:b/>
          <w:i/>
          <w:lang w:val="sr-Cyrl-CS"/>
        </w:rPr>
        <w:t>ЗАКОНСКИ ОКВИР</w:t>
      </w:r>
    </w:p>
    <w:p w:rsidR="007B1764" w:rsidRDefault="00954F6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sr-Cyrl-CS"/>
        </w:rPr>
        <w:t>Да би се објаснио институт осигурања имовине у стечајном поступку потребно је анализирати одредбе Закона о стечају које регулишу ову област.</w:t>
      </w:r>
    </w:p>
    <w:p w:rsidR="00991DBB" w:rsidRDefault="00991DBB" w:rsidP="00991DBB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Одредбама Закона о стечају установљен је циљ стечајног поступка и то </w:t>
      </w:r>
    </w:p>
    <w:p w:rsidR="00000000" w:rsidRPr="00991DBB" w:rsidRDefault="000B3066" w:rsidP="00991D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991DBB">
        <w:rPr>
          <w:rFonts w:ascii="Times New Roman" w:hAnsi="Times New Roman" w:cs="Times New Roman"/>
          <w:lang w:val="sr-Cyrl-CS"/>
        </w:rPr>
        <w:t>Најповољније колективно намирење стечајних поверилаца остваривањем највеће могуће вредности стечајног дужника, односно његове имовине</w:t>
      </w:r>
    </w:p>
    <w:p w:rsidR="00000000" w:rsidRPr="00991DBB" w:rsidRDefault="000B3066" w:rsidP="00991D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91DBB">
        <w:rPr>
          <w:rFonts w:ascii="Times New Roman" w:hAnsi="Times New Roman" w:cs="Times New Roman"/>
          <w:lang w:val="sr-Cyrl-CS"/>
        </w:rPr>
        <w:t>Повериоци се намирују продајом целокупне имовине стечајног дужника, односно стечајног дужника као правног лица,</w:t>
      </w:r>
    </w:p>
    <w:p w:rsidR="00991DBB" w:rsidRDefault="00991DBB" w:rsidP="00991DBB">
      <w:pPr>
        <w:rPr>
          <w:rFonts w:ascii="Times New Roman" w:eastAsia="+mn-ea" w:hAnsi="Times New Roman" w:cs="Times New Roman"/>
          <w:color w:val="404040"/>
          <w:kern w:val="24"/>
          <w:sz w:val="36"/>
          <w:szCs w:val="36"/>
          <w:lang w:val="sr-Cyrl-CS" w:eastAsia="en-AU"/>
        </w:rPr>
      </w:pPr>
      <w:r>
        <w:rPr>
          <w:rFonts w:ascii="Times New Roman" w:hAnsi="Times New Roman" w:cs="Times New Roman"/>
          <w:lang w:val="sr-Cyrl-CS"/>
        </w:rPr>
        <w:t>Поред циља стечајног поступка прописана су начела стечајног поступка и то</w:t>
      </w:r>
      <w:r w:rsidRPr="00991DBB">
        <w:rPr>
          <w:rFonts w:ascii="Times New Roman" w:eastAsia="+mn-ea" w:hAnsi="Times New Roman" w:cs="Times New Roman"/>
          <w:color w:val="404040"/>
          <w:kern w:val="24"/>
          <w:sz w:val="36"/>
          <w:szCs w:val="36"/>
          <w:lang w:val="sr-Cyrl-CS" w:eastAsia="en-AU"/>
        </w:rPr>
        <w:t xml:space="preserve"> </w:t>
      </w:r>
    </w:p>
    <w:p w:rsidR="00000000" w:rsidRPr="00991DBB" w:rsidRDefault="000B3066" w:rsidP="00991D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91DBB">
        <w:rPr>
          <w:rFonts w:ascii="Times New Roman" w:hAnsi="Times New Roman" w:cs="Times New Roman"/>
          <w:lang w:val="sr-Cyrl-CS"/>
        </w:rPr>
        <w:t xml:space="preserve">Начело </w:t>
      </w:r>
      <w:r w:rsidRPr="00991DBB">
        <w:rPr>
          <w:rFonts w:ascii="Times New Roman" w:hAnsi="Times New Roman" w:cs="Times New Roman"/>
          <w:lang w:val="sr-Cyrl-CS"/>
        </w:rPr>
        <w:t>заштите стечајних поверилаца у складу са Законом о стечају</w:t>
      </w:r>
      <w:r w:rsidR="00991DBB">
        <w:rPr>
          <w:rFonts w:ascii="Times New Roman" w:hAnsi="Times New Roman" w:cs="Times New Roman"/>
          <w:lang w:val="sr-Cyrl-CS"/>
        </w:rPr>
        <w:t xml:space="preserve"> које омогућава к</w:t>
      </w:r>
      <w:r w:rsidRPr="00991DBB">
        <w:rPr>
          <w:rFonts w:ascii="Times New Roman" w:hAnsi="Times New Roman" w:cs="Times New Roman"/>
          <w:lang w:val="sr-Cyrl-CS"/>
        </w:rPr>
        <w:t>олективно и сразмерно намирење стечајних поверилаца у складу са овим Законом</w:t>
      </w:r>
    </w:p>
    <w:p w:rsidR="00000000" w:rsidRPr="008F7593" w:rsidRDefault="000B3066" w:rsidP="00991D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91DBB">
        <w:rPr>
          <w:rFonts w:ascii="Times New Roman" w:hAnsi="Times New Roman" w:cs="Times New Roman"/>
          <w:lang w:val="sr-Cyrl-CS"/>
        </w:rPr>
        <w:t>Начело економичности</w:t>
      </w:r>
      <w:r w:rsidR="00991DBB">
        <w:rPr>
          <w:rFonts w:ascii="Times New Roman" w:hAnsi="Times New Roman" w:cs="Times New Roman"/>
          <w:lang w:val="sr-Cyrl-CS"/>
        </w:rPr>
        <w:t xml:space="preserve">  које прописује да се стечајни поступак </w:t>
      </w:r>
      <w:r w:rsidRPr="00991DBB">
        <w:rPr>
          <w:rFonts w:ascii="Times New Roman" w:hAnsi="Times New Roman" w:cs="Times New Roman"/>
          <w:lang w:val="sr-Cyrl-CS"/>
        </w:rPr>
        <w:t xml:space="preserve"> спроводи тако да омогући остваривање највеће могуће вредности имовине стеч</w:t>
      </w:r>
      <w:r w:rsidRPr="00991DBB">
        <w:rPr>
          <w:rFonts w:ascii="Times New Roman" w:hAnsi="Times New Roman" w:cs="Times New Roman"/>
          <w:lang w:val="sr-Cyrl-CS"/>
        </w:rPr>
        <w:t>ајног дужника и највећег могућег степена  намирења поверилаца у што краћем року и са што мање трошкова</w:t>
      </w:r>
    </w:p>
    <w:p w:rsidR="008F7593" w:rsidRDefault="008F7593" w:rsidP="008F7593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А у циљу остварења начела најповољнијег намирења стечајних поверилаца као и заштите њихових потраживања прописано је именовање стечајног управника ради успостављања контроле над имовином као и да се иста обезбеди и заштити.</w:t>
      </w:r>
    </w:p>
    <w:p w:rsidR="005C3B57" w:rsidRDefault="005C3B57" w:rsidP="008F7593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Један од непосредних циљева именовања стечајног управника је да се успостави контрола над имовином, као и да се она обезбеди и заштити.</w:t>
      </w:r>
    </w:p>
    <w:p w:rsidR="005C3B57" w:rsidRDefault="005C3B57" w:rsidP="008F7593">
      <w:pPr>
        <w:rPr>
          <w:rFonts w:ascii="Times New Roman" w:hAnsi="Times New Roman" w:cs="Times New Roman"/>
          <w:b/>
          <w:i/>
          <w:lang w:val="sr-Cyrl-CS"/>
        </w:rPr>
      </w:pPr>
    </w:p>
    <w:p w:rsidR="005C3B57" w:rsidRPr="005C3B57" w:rsidRDefault="005C3B57" w:rsidP="008F7593">
      <w:pPr>
        <w:rPr>
          <w:rFonts w:ascii="Times New Roman" w:hAnsi="Times New Roman" w:cs="Times New Roman"/>
          <w:b/>
          <w:i/>
          <w:lang w:val="sr-Cyrl-CS"/>
        </w:rPr>
      </w:pPr>
      <w:r w:rsidRPr="005C3B57">
        <w:rPr>
          <w:rFonts w:ascii="Times New Roman" w:hAnsi="Times New Roman" w:cs="Times New Roman"/>
          <w:b/>
          <w:i/>
          <w:lang w:val="sr-Cyrl-CS"/>
        </w:rPr>
        <w:t>ОСНОВНЕ ДУЖНОСТИ СТЕЧАЈНОГ УПРАВНИКА</w:t>
      </w:r>
    </w:p>
    <w:p w:rsidR="00991DBB" w:rsidRDefault="00991DBB" w:rsidP="00991DBB">
      <w:pPr>
        <w:rPr>
          <w:rFonts w:ascii="Times New Roman" w:hAnsi="Times New Roman" w:cs="Times New Roman"/>
          <w:lang w:val="sr-Cyrl-CS"/>
        </w:rPr>
      </w:pPr>
      <w:r w:rsidRPr="00991DBB">
        <w:rPr>
          <w:rFonts w:ascii="Times New Roman" w:hAnsi="Times New Roman" w:cs="Times New Roman"/>
          <w:lang w:val="sr-Cyrl-CS"/>
        </w:rPr>
        <w:t>Осигурање имовине спада у надлежност стечајног управника која је условљена сагласношћу стечајног судије.</w:t>
      </w:r>
    </w:p>
    <w:p w:rsidR="00991DBB" w:rsidRDefault="00991DBB" w:rsidP="00991DBB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Питање осигурања имовине стечајног дужника регулисано је Законом о стечају тако што је чланом  27</w:t>
      </w:r>
      <w:r w:rsidR="00736011">
        <w:rPr>
          <w:rFonts w:ascii="Times New Roman" w:hAnsi="Times New Roman" w:cs="Times New Roman"/>
          <w:lang w:val="sr-Cyrl-CS"/>
        </w:rPr>
        <w:t xml:space="preserve">. Став 1 тачка 7, прописано </w:t>
      </w:r>
      <w:r>
        <w:rPr>
          <w:rFonts w:ascii="Times New Roman" w:hAnsi="Times New Roman" w:cs="Times New Roman"/>
          <w:lang w:val="sr-Cyrl-CS"/>
        </w:rPr>
        <w:t xml:space="preserve"> да је стечајни управник НАРОЧИТО ДУЖАН између осталог, да предузме све неопходне мере за заштиту имовине стечајног дужника као и да уз сагласност стечајног судије на терет стечајне масе осигура имовину стечајног дужника у целини или </w:t>
      </w:r>
      <w:r w:rsidR="008F7593">
        <w:rPr>
          <w:rFonts w:ascii="Times New Roman" w:hAnsi="Times New Roman" w:cs="Times New Roman"/>
          <w:lang w:val="sr-Cyrl-CS"/>
        </w:rPr>
        <w:t>појединачно.</w:t>
      </w:r>
    </w:p>
    <w:p w:rsidR="008F7593" w:rsidRDefault="008F7593" w:rsidP="008F7593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Ова обавеза стечајног управника произилази из основних начела стечајног поступка а то је да је циљ стечаја најповољније колективно намирење стечајних поверилаца оствривањем највеће могуће вредности стечајној дужника односно његове имовине.</w:t>
      </w:r>
    </w:p>
    <w:p w:rsidR="00000000" w:rsidRPr="00991DBB" w:rsidRDefault="00991DBB" w:rsidP="00991DBB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 би се остварио циљ стечаја стечајни управник је у обавези да одмах по отварању стечаја изврши преузимање целокупне имовине стечајног дужника, да након тога спроведе поступка п</w:t>
      </w:r>
      <w:r w:rsidR="000B3066" w:rsidRPr="00991DBB">
        <w:rPr>
          <w:rFonts w:ascii="Times New Roman" w:hAnsi="Times New Roman" w:cs="Times New Roman"/>
          <w:lang w:val="sr-Cyrl-CS"/>
        </w:rPr>
        <w:t>опис</w:t>
      </w:r>
      <w:r>
        <w:rPr>
          <w:rFonts w:ascii="Times New Roman" w:hAnsi="Times New Roman" w:cs="Times New Roman"/>
          <w:lang w:val="sr-Cyrl-CS"/>
        </w:rPr>
        <w:t>а и процене</w:t>
      </w:r>
      <w:r w:rsidR="000B3066" w:rsidRPr="00991DBB">
        <w:rPr>
          <w:rFonts w:ascii="Times New Roman" w:hAnsi="Times New Roman" w:cs="Times New Roman"/>
          <w:lang w:val="sr-Cyrl-CS"/>
        </w:rPr>
        <w:t xml:space="preserve"> ликвидационе вредности целокупн</w:t>
      </w:r>
      <w:r>
        <w:rPr>
          <w:rFonts w:ascii="Times New Roman" w:hAnsi="Times New Roman" w:cs="Times New Roman"/>
          <w:lang w:val="sr-Cyrl-CS"/>
        </w:rPr>
        <w:t>е имовине.</w:t>
      </w:r>
    </w:p>
    <w:p w:rsidR="00954F63" w:rsidRDefault="00954F63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Стечајни управник води послове и заступа стечајног дужника, самостално односно у прописаним случајевима по одобрењу суда и уз сагласност одбора поверилаца.</w:t>
      </w:r>
    </w:p>
    <w:p w:rsidR="0083040D" w:rsidRDefault="0083040D" w:rsidP="007B176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Осигурање од штете је радња којом се штите потраживања поверилаца и других учесника у поступку.</w:t>
      </w:r>
    </w:p>
    <w:p w:rsidR="0083040D" w:rsidRPr="008E421F" w:rsidRDefault="0083040D" w:rsidP="007B176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Осигурање од штете се врши на терет стечајне масе тако да се ради о трошковима стечајног поступка.</w:t>
      </w:r>
    </w:p>
    <w:p w:rsidR="007B1764" w:rsidRDefault="007B176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Осигурање имовине стечајног дужника по мени обухвата шире значење и то кроз институт обезбеђења имовине и осигурања имовине од могуће штете. </w:t>
      </w:r>
    </w:p>
    <w:p w:rsidR="007B1764" w:rsidRDefault="0083040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Први кораци су </w:t>
      </w:r>
      <w:r w:rsidR="00DA783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да </w:t>
      </w:r>
      <w:r w:rsidR="00DA7834">
        <w:rPr>
          <w:rFonts w:ascii="Times New Roman" w:hAnsi="Times New Roman" w:cs="Times New Roman"/>
          <w:lang w:val="sr-Cyrl-CS"/>
        </w:rPr>
        <w:t xml:space="preserve">стечајни управник </w:t>
      </w:r>
      <w:r w:rsidR="007B1764">
        <w:rPr>
          <w:rFonts w:ascii="Times New Roman" w:hAnsi="Times New Roman" w:cs="Times New Roman"/>
          <w:lang w:val="sr-Cyrl-CS"/>
        </w:rPr>
        <w:t xml:space="preserve">у поступку обезбеђења имовине </w:t>
      </w:r>
      <w:r w:rsidR="00DA7834">
        <w:rPr>
          <w:rFonts w:ascii="Times New Roman" w:hAnsi="Times New Roman" w:cs="Times New Roman"/>
          <w:lang w:val="sr-Cyrl-CS"/>
        </w:rPr>
        <w:t xml:space="preserve">преузме печате, штамбиље, готов новац,хартије од вредности, мале ствари велике вредности, уговоре, власничку документацију и друго важно по оцени стечајног управника а све у сврху обезбеђења имовине. </w:t>
      </w:r>
    </w:p>
    <w:p w:rsidR="0083040D" w:rsidRDefault="0083040D" w:rsidP="0083040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Приликом преузимања имовине стечајни управни</w:t>
      </w:r>
      <w:r w:rsidR="00991DBB"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  <w:lang w:val="sr-Cyrl-CS"/>
        </w:rPr>
        <w:t xml:space="preserve"> треба да направи списак свих уговора о осигурању ако је имовина била предмет осигурања, а ако није потребно је да одмах крене у процедуру осигурања стечајне масе од штете.</w:t>
      </w:r>
    </w:p>
    <w:p w:rsidR="00747E53" w:rsidRDefault="00747E53" w:rsidP="0083040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Потребно је да стечајни управник процени ризике за имовину стечајног дужника па од степена ризика зависи коју ће имовину осигурати од штете.</w:t>
      </w:r>
    </w:p>
    <w:p w:rsidR="005C3B57" w:rsidRDefault="005C3B57" w:rsidP="0083040D">
      <w:pPr>
        <w:rPr>
          <w:rFonts w:ascii="Times New Roman" w:hAnsi="Times New Roman" w:cs="Times New Roman"/>
          <w:b/>
          <w:i/>
          <w:lang w:val="sr-Cyrl-CS"/>
        </w:rPr>
      </w:pPr>
    </w:p>
    <w:p w:rsidR="005C3B57" w:rsidRPr="005C3B57" w:rsidRDefault="005C3B57" w:rsidP="0083040D">
      <w:pPr>
        <w:rPr>
          <w:rFonts w:ascii="Times New Roman" w:hAnsi="Times New Roman" w:cs="Times New Roman"/>
          <w:b/>
          <w:i/>
          <w:lang w:val="sr-Cyrl-CS"/>
        </w:rPr>
      </w:pPr>
      <w:r w:rsidRPr="005C3B57">
        <w:rPr>
          <w:rFonts w:ascii="Times New Roman" w:hAnsi="Times New Roman" w:cs="Times New Roman"/>
          <w:b/>
          <w:i/>
          <w:lang w:val="sr-Cyrl-CS"/>
        </w:rPr>
        <w:t>ИМОВИНА КОЈА ЈЕ ПРЕДМЕТ ОСИГУРАЊА</w:t>
      </w:r>
    </w:p>
    <w:p w:rsidR="00747E53" w:rsidRDefault="00747E53" w:rsidP="0083040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судској пракси примећено је да се углавном ради о ризицима пропасти ствари која је у власништву стечајног д</w:t>
      </w:r>
      <w:r w:rsidR="008F7593">
        <w:rPr>
          <w:rFonts w:ascii="Times New Roman" w:hAnsi="Times New Roman" w:cs="Times New Roman"/>
          <w:lang w:val="sr-Cyrl-CS"/>
        </w:rPr>
        <w:t>ужника и која ја веће вредности, као што су зграде, постројења, станови, опрема и машине веће вредности.</w:t>
      </w:r>
    </w:p>
    <w:p w:rsidR="00736011" w:rsidRDefault="00736011" w:rsidP="0083040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Сагласно томе стечајни управник не треба да осигурава сву имовину стечајног дужника већа само имовину за коју постоји оправдан ризик од наступања штетног догађаја. </w:t>
      </w:r>
    </w:p>
    <w:p w:rsidR="00747E53" w:rsidRDefault="00747E53" w:rsidP="0083040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Поред овог ризика потребно је истаћи да се код стечајних дужника који у свом поседу имају пољопривредно земљиште и на којој је организована производња (не закуп) појављује и </w:t>
      </w:r>
      <w:r>
        <w:rPr>
          <w:rFonts w:ascii="Times New Roman" w:hAnsi="Times New Roman" w:cs="Times New Roman"/>
          <w:lang w:val="sr-Cyrl-CS"/>
        </w:rPr>
        <w:lastRenderedPageBreak/>
        <w:t>осигурање будућег рода. Ово се може применити само у случајевима када стечајни управник одлучи да настави производњу.</w:t>
      </w:r>
    </w:p>
    <w:p w:rsidR="000127ED" w:rsidRDefault="000127ED" w:rsidP="0083040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Уколико се у поседу стечајног дужника налази имовина која није власништво дужника, већ трећег лица, стечајни управник би требало да одмах позове власника ствари ради преузимања. Ово у случају само ако је стечајни управник на несумњив начин утврдио да се ради о ствари која је у власништву трећег лица.</w:t>
      </w:r>
    </w:p>
    <w:p w:rsidR="000127ED" w:rsidRDefault="000127ED" w:rsidP="0083040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Нарочито је потребна посебна пажња у погледу имовине која ја предмет разлучног права, јер разлучни поверилац има могућност да терети стечајног управника да није на адекватан начин заштитио имовину која је предмет разлучног потраживања и да је безбедност те имовине изложена ризику што је и један од разлога за укидање или условљавање мера обезбеђења, забране извршења и намирења. Стечајни судија може на предлог разлучног повериоца да донесе одлуку о адекватној заштити имовине која је предмет разлучног права тако што ће наложити поправку, одржавање или осигурање имовине, као и друге мере прописане чланом 93 став 7 од тачке 1 до тачке 5 Закона о стечају.</w:t>
      </w:r>
    </w:p>
    <w:p w:rsidR="005C3B57" w:rsidRDefault="005C3B57" w:rsidP="0083040D">
      <w:pPr>
        <w:rPr>
          <w:rFonts w:ascii="Times New Roman" w:hAnsi="Times New Roman" w:cs="Times New Roman"/>
          <w:lang w:val="sr-Cyrl-CS"/>
        </w:rPr>
      </w:pPr>
    </w:p>
    <w:p w:rsidR="005C3B57" w:rsidRPr="005C3B57" w:rsidRDefault="005C3B57" w:rsidP="0083040D">
      <w:pPr>
        <w:rPr>
          <w:rFonts w:ascii="Times New Roman" w:hAnsi="Times New Roman" w:cs="Times New Roman"/>
          <w:b/>
          <w:i/>
          <w:lang w:val="sr-Cyrl-CS"/>
        </w:rPr>
      </w:pPr>
      <w:r w:rsidRPr="005C3B57">
        <w:rPr>
          <w:rFonts w:ascii="Times New Roman" w:hAnsi="Times New Roman" w:cs="Times New Roman"/>
          <w:b/>
          <w:i/>
          <w:lang w:val="sr-Cyrl-CS"/>
        </w:rPr>
        <w:t>ПОСТУПАК ОСИГУРАЊА ИМОВИНЕ</w:t>
      </w:r>
    </w:p>
    <w:p w:rsidR="0083040D" w:rsidRDefault="0083040D" w:rsidP="0083040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Препорука је да стечајни управник у процедури осигурања имовине стечајног дужника одмах </w:t>
      </w:r>
      <w:r w:rsidR="00F10CE2">
        <w:rPr>
          <w:rFonts w:ascii="Times New Roman" w:hAnsi="Times New Roman" w:cs="Times New Roman"/>
          <w:lang w:val="sr-Cyrl-CS"/>
        </w:rPr>
        <w:t>достави захтев за достављање писмених понуда најмање три осигуравајуће куће. Тај захтев се може сматрати понудом за закључење уговора о осигурању. Сама та понуда тре</w:t>
      </w:r>
      <w:r w:rsidR="00435E78">
        <w:rPr>
          <w:rFonts w:ascii="Times New Roman" w:hAnsi="Times New Roman" w:cs="Times New Roman"/>
          <w:lang w:val="sr-Cyrl-CS"/>
        </w:rPr>
        <w:t>бало би да садржи предмет осигурања са свим подацима како би полиса била потпуна.</w:t>
      </w:r>
    </w:p>
    <w:p w:rsidR="00435E78" w:rsidRDefault="00435E78" w:rsidP="0083040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Сам стечајни управник пажњом доброг привредника врши избор најбоље понуде за осигурање имовине. </w:t>
      </w:r>
    </w:p>
    <w:p w:rsidR="00435E78" w:rsidRDefault="00435E78" w:rsidP="0083040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Када изабере најбољу понуду, дужан је да писменим путем, уз достављање свих доказа о спроведеној процедури избора најбоље понуде, тражи сагласност стечајног судије да осигура имовину стечајног дужника са најбољим понуђачем.</w:t>
      </w:r>
    </w:p>
    <w:p w:rsidR="00736011" w:rsidRDefault="00736011" w:rsidP="0083040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Трошкови осигурања падају на терет стечајне масе, што значи да се исти приказују као трошкови стечајног поступка а које одобрава стечајни судија кроз план трошкова и одобрење за исплату трошкова. Како се одлуке стечајног судије о трошковима достављају Одбору поверилаца испуњен је услов јавности и информисаности органа стечајног поступка.</w:t>
      </w:r>
    </w:p>
    <w:p w:rsidR="00435E78" w:rsidRDefault="00435E78" w:rsidP="0083040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Осигурање имовине није радња од изузетног значаја у смислу одредби члана 28. Закона о стечају, већ је то дужност стечајног у</w:t>
      </w:r>
      <w:r w:rsidR="00747E53">
        <w:rPr>
          <w:rFonts w:ascii="Times New Roman" w:hAnsi="Times New Roman" w:cs="Times New Roman"/>
          <w:lang w:val="sr-Cyrl-CS"/>
        </w:rPr>
        <w:t>правника прописана законом који прописује</w:t>
      </w:r>
      <w:r>
        <w:rPr>
          <w:rFonts w:ascii="Times New Roman" w:hAnsi="Times New Roman" w:cs="Times New Roman"/>
          <w:lang w:val="sr-Cyrl-CS"/>
        </w:rPr>
        <w:t xml:space="preserve"> искључиво сагласност стечајног судије.</w:t>
      </w:r>
    </w:p>
    <w:p w:rsidR="00747E53" w:rsidRDefault="00747E53" w:rsidP="0083040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Да би смањио ризик од наступања штетних последица обухваћених осигурањем стечајни управник би требао да обезбеди физичко техничко обезбеђење нарочито осетљиве имовине као што су </w:t>
      </w:r>
      <w:r w:rsidR="00E97F1F">
        <w:rPr>
          <w:rFonts w:ascii="Times New Roman" w:hAnsi="Times New Roman" w:cs="Times New Roman"/>
          <w:lang w:val="sr-Cyrl-CS"/>
        </w:rPr>
        <w:t>зграде са машинама, пољопривредно земљиште које није издато у закуп, машине које служе основној делатности стечајног дужника.</w:t>
      </w:r>
    </w:p>
    <w:p w:rsidR="00E97F1F" w:rsidRDefault="00E97F1F" w:rsidP="0083040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Избор физичко техничког обезбеђења потребно је спровести на начин како се бира и најбољи осигуравач и то нарочито</w:t>
      </w:r>
      <w:r w:rsidR="008F7593">
        <w:rPr>
          <w:rFonts w:ascii="Times New Roman" w:hAnsi="Times New Roman" w:cs="Times New Roman"/>
          <w:lang w:val="sr-Cyrl-CS"/>
        </w:rPr>
        <w:t xml:space="preserve"> имајући </w:t>
      </w:r>
      <w:r>
        <w:rPr>
          <w:rFonts w:ascii="Times New Roman" w:hAnsi="Times New Roman" w:cs="Times New Roman"/>
          <w:lang w:val="sr-Cyrl-CS"/>
        </w:rPr>
        <w:t xml:space="preserve"> у виду да лица која врше физичко техничко обезбеђење имају лиценцу по закону чија је почела примена.</w:t>
      </w:r>
    </w:p>
    <w:p w:rsidR="008F7593" w:rsidRDefault="008F7593" w:rsidP="0083040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 xml:space="preserve">Уколико се деси штетни догађај стечајни управник, који је орган стечајног поступка и који има статус службеног лица, дужан је да о штетном догађају одмах обавести надлежну полицијску управу, осигуравајућу кућу и стечајног судију. </w:t>
      </w:r>
      <w:r w:rsidR="00736011">
        <w:rPr>
          <w:rFonts w:ascii="Times New Roman" w:hAnsi="Times New Roman" w:cs="Times New Roman"/>
          <w:lang w:val="sr-Cyrl-CS"/>
        </w:rPr>
        <w:t xml:space="preserve"> Сам стечајни управник би требао да изађе на лице места како би сачинио записник за потребе стечајног поступка и благовременог обавештавања свих учесника у поступку и евентуалних тужбених захтева као и придруживању кривичном гоњењу, ако је </w:t>
      </w:r>
      <w:r w:rsidR="005C3B57">
        <w:rPr>
          <w:rFonts w:ascii="Times New Roman" w:hAnsi="Times New Roman" w:cs="Times New Roman"/>
          <w:lang w:val="sr-Cyrl-CS"/>
        </w:rPr>
        <w:t xml:space="preserve">штета настала кривичним делом, </w:t>
      </w:r>
      <w:r w:rsidR="00736011">
        <w:rPr>
          <w:rFonts w:ascii="Times New Roman" w:hAnsi="Times New Roman" w:cs="Times New Roman"/>
          <w:lang w:val="sr-Cyrl-CS"/>
        </w:rPr>
        <w:t xml:space="preserve"> правилном и тачном постављању одштетног захтева.</w:t>
      </w:r>
    </w:p>
    <w:p w:rsidR="00511D54" w:rsidRDefault="00511D54" w:rsidP="0083040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Финасирање трошкова стечајног поступка се може обезбедити продајом имовине која није од кључног значаја, издавањем у закуп имовине па у том случају уговорити са закупцем да исти плаћа месечни износ осигурања имовине као и друге одредбе којима ће закупац бити дужан да чува закупљену имовину.</w:t>
      </w:r>
    </w:p>
    <w:p w:rsidR="005C3B57" w:rsidRDefault="005C3B57" w:rsidP="0083040D">
      <w:pPr>
        <w:rPr>
          <w:rFonts w:ascii="Times New Roman" w:hAnsi="Times New Roman" w:cs="Times New Roman"/>
          <w:lang w:val="sr-Cyrl-CS"/>
        </w:rPr>
      </w:pPr>
    </w:p>
    <w:p w:rsidR="005C3B57" w:rsidRPr="005C3B57" w:rsidRDefault="005C3B57" w:rsidP="0083040D">
      <w:pPr>
        <w:rPr>
          <w:rFonts w:ascii="Times New Roman" w:hAnsi="Times New Roman" w:cs="Times New Roman"/>
          <w:b/>
          <w:i/>
          <w:lang w:val="sr-Cyrl-CS"/>
        </w:rPr>
      </w:pPr>
      <w:r w:rsidRPr="005C3B57">
        <w:rPr>
          <w:rFonts w:ascii="Times New Roman" w:hAnsi="Times New Roman" w:cs="Times New Roman"/>
          <w:b/>
          <w:i/>
          <w:lang w:val="sr-Cyrl-CS"/>
        </w:rPr>
        <w:t>РИЗИК ПРОПУШТАЊА РАДЊЕ ОСИГУРАЊА ИМОВИНЕ И ПОСЛЕДИЦЕ</w:t>
      </w:r>
    </w:p>
    <w:p w:rsidR="005C3B57" w:rsidRDefault="005C3B57" w:rsidP="005C3B57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Отварањем   стечајног поступка стечајни управник добија статус службеног лица у смислу одредаба Кривичног законика којим се регулише положај службеног лица. </w:t>
      </w:r>
    </w:p>
    <w:p w:rsidR="00511D54" w:rsidRDefault="00511D54" w:rsidP="005C3B57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Уколико дође до пропасти ствари или знатног умањења вредности имовине због наступања штетних последица, умањује се вредност имовине која је предмет уновчења а самим тим се умањује проценат намирења поверилаца. Тако настаје штета за повериоце.</w:t>
      </w:r>
    </w:p>
    <w:p w:rsidR="008F7593" w:rsidRDefault="008F7593" w:rsidP="008F7593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Стечајни управник је одговоран за штету учињену како својим радњама тако и нечињењем и невршењем послова нарочито на очувању вредности имовине и њене заштите од штете и одговоран је свим учесницима поступка. </w:t>
      </w:r>
    </w:p>
    <w:p w:rsidR="00511D54" w:rsidRDefault="00511D54" w:rsidP="008F7593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Чланом 31 став 1 прописано је да у случаја када је у обављању послова стечајни управник проузроковао штету учесницима у поступку намерно илил крајњом непажњом, стечајни управник личном имовином одговара за ту штету по правилима одговорности из Закона о облигационим односима.</w:t>
      </w:r>
    </w:p>
    <w:p w:rsidR="008F7593" w:rsidRDefault="008F7593" w:rsidP="008F7593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Поред одговорности за штету, пропуштање стечајног управника да осигура имовину и поред два упозорења стечајног судије и одбора поверилаца представља разлог за разрешење стечајног управника које је прописано чланом 32 став 1 тачка 5 Закона о стечају.</w:t>
      </w:r>
    </w:p>
    <w:p w:rsidR="000127ED" w:rsidRDefault="000127ED" w:rsidP="008F7593">
      <w:pPr>
        <w:rPr>
          <w:rFonts w:ascii="Times New Roman" w:hAnsi="Times New Roman" w:cs="Times New Roman"/>
          <w:lang w:val="sr-Cyrl-CS"/>
        </w:rPr>
      </w:pPr>
    </w:p>
    <w:p w:rsidR="000127ED" w:rsidRDefault="000127ED" w:rsidP="008F7593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ЉИЉАНА КОМШИЋ</w:t>
      </w:r>
    </w:p>
    <w:p w:rsidR="008F7593" w:rsidRDefault="008F7593" w:rsidP="008F7593">
      <w:pPr>
        <w:rPr>
          <w:rFonts w:ascii="Times New Roman" w:hAnsi="Times New Roman" w:cs="Times New Roman"/>
          <w:lang w:val="sr-Cyrl-CS"/>
        </w:rPr>
      </w:pPr>
    </w:p>
    <w:p w:rsidR="008F7593" w:rsidRDefault="008F7593" w:rsidP="008F7593">
      <w:pPr>
        <w:rPr>
          <w:rFonts w:ascii="Times New Roman" w:hAnsi="Times New Roman" w:cs="Times New Roman"/>
          <w:lang w:val="sr-Cyrl-CS"/>
        </w:rPr>
      </w:pPr>
    </w:p>
    <w:p w:rsidR="00747E53" w:rsidRDefault="00747E53" w:rsidP="0083040D">
      <w:pPr>
        <w:rPr>
          <w:rFonts w:ascii="Times New Roman" w:hAnsi="Times New Roman" w:cs="Times New Roman"/>
          <w:lang w:val="sr-Cyrl-CS"/>
        </w:rPr>
      </w:pPr>
    </w:p>
    <w:p w:rsidR="00435E78" w:rsidRDefault="00435E78" w:rsidP="0083040D">
      <w:pPr>
        <w:rPr>
          <w:rFonts w:ascii="Times New Roman" w:hAnsi="Times New Roman" w:cs="Times New Roman"/>
          <w:lang w:val="sr-Cyrl-CS"/>
        </w:rPr>
      </w:pPr>
    </w:p>
    <w:p w:rsidR="0083040D" w:rsidRDefault="0083040D" w:rsidP="0083040D">
      <w:pPr>
        <w:rPr>
          <w:rFonts w:ascii="Times New Roman" w:hAnsi="Times New Roman" w:cs="Times New Roman"/>
          <w:lang w:val="sr-Cyrl-CS"/>
        </w:rPr>
      </w:pPr>
    </w:p>
    <w:p w:rsidR="0083040D" w:rsidRDefault="0083040D" w:rsidP="0083040D">
      <w:pPr>
        <w:rPr>
          <w:rFonts w:ascii="Times New Roman" w:hAnsi="Times New Roman" w:cs="Times New Roman"/>
          <w:lang w:val="sr-Cyrl-CS"/>
        </w:rPr>
      </w:pPr>
    </w:p>
    <w:p w:rsidR="0083040D" w:rsidRDefault="0083040D">
      <w:pPr>
        <w:rPr>
          <w:rFonts w:ascii="Times New Roman" w:hAnsi="Times New Roman" w:cs="Times New Roman"/>
          <w:lang w:val="sr-Cyrl-CS"/>
        </w:rPr>
      </w:pPr>
    </w:p>
    <w:p w:rsidR="008E421F" w:rsidRPr="008E421F" w:rsidRDefault="008E421F">
      <w:pPr>
        <w:rPr>
          <w:rFonts w:ascii="Times New Roman" w:hAnsi="Times New Roman" w:cs="Times New Roman"/>
          <w:lang w:val="sr-Cyrl-CS"/>
        </w:rPr>
      </w:pPr>
    </w:p>
    <w:sectPr w:rsidR="008E421F" w:rsidRPr="008E421F" w:rsidSect="00E00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B9B"/>
    <w:multiLevelType w:val="hybridMultilevel"/>
    <w:tmpl w:val="BF361A16"/>
    <w:lvl w:ilvl="0" w:tplc="38E865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AE8996">
      <w:start w:val="85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043D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606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9EDC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6E99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6DD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68D8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C27B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526185"/>
    <w:multiLevelType w:val="hybridMultilevel"/>
    <w:tmpl w:val="507C1F5E"/>
    <w:lvl w:ilvl="0" w:tplc="A7866C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C821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DCB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2C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4055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140D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CA7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8EB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7E3D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2376CB"/>
    <w:multiLevelType w:val="hybridMultilevel"/>
    <w:tmpl w:val="192851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F0251"/>
    <w:multiLevelType w:val="hybridMultilevel"/>
    <w:tmpl w:val="03CE57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F0C93"/>
    <w:multiLevelType w:val="hybridMultilevel"/>
    <w:tmpl w:val="338025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E421F"/>
    <w:rsid w:val="000127ED"/>
    <w:rsid w:val="000B3066"/>
    <w:rsid w:val="00435E78"/>
    <w:rsid w:val="00511D54"/>
    <w:rsid w:val="005C3B57"/>
    <w:rsid w:val="00682395"/>
    <w:rsid w:val="00736011"/>
    <w:rsid w:val="00747E53"/>
    <w:rsid w:val="007B1764"/>
    <w:rsid w:val="0083040D"/>
    <w:rsid w:val="008672D5"/>
    <w:rsid w:val="008C4A50"/>
    <w:rsid w:val="008E421F"/>
    <w:rsid w:val="008F7593"/>
    <w:rsid w:val="00954F63"/>
    <w:rsid w:val="00991DBB"/>
    <w:rsid w:val="00DA7834"/>
    <w:rsid w:val="00E003F3"/>
    <w:rsid w:val="00E97F1F"/>
    <w:rsid w:val="00F1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F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06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6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0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3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6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komsic.ljiljana</dc:creator>
  <cp:keywords/>
  <dc:description/>
  <cp:lastModifiedBy>komsic.ljiljana</cp:lastModifiedBy>
  <cp:revision>2</cp:revision>
  <cp:lastPrinted>2017-03-10T11:44:00Z</cp:lastPrinted>
  <dcterms:created xsi:type="dcterms:W3CDTF">2017-03-10T11:45:00Z</dcterms:created>
  <dcterms:modified xsi:type="dcterms:W3CDTF">2017-03-10T11:45:00Z</dcterms:modified>
</cp:coreProperties>
</file>