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5F0022F" w14:textId="77777777" w:rsidR="00D87D54" w:rsidRPr="00435D09" w:rsidRDefault="00D87D54" w:rsidP="006E352F">
      <w:pPr>
        <w:jc w:val="center"/>
        <w:rPr>
          <w:b/>
          <w:color w:val="FF9900"/>
          <w:sz w:val="27"/>
          <w:szCs w:val="27"/>
          <w:lang w:val="sr-Latn-RS"/>
        </w:rPr>
      </w:pPr>
    </w:p>
    <w:p w14:paraId="5E0121D1" w14:textId="4F5E5044" w:rsidR="006E352F" w:rsidRPr="006E352F" w:rsidRDefault="00CF0C62" w:rsidP="006E352F">
      <w:pPr>
        <w:jc w:val="center"/>
        <w:rPr>
          <w:b/>
          <w:color w:val="FF9900"/>
          <w:sz w:val="27"/>
          <w:szCs w:val="27"/>
        </w:rPr>
      </w:pPr>
      <w:r w:rsidRPr="006E352F">
        <w:rPr>
          <w:b/>
          <w:color w:val="FF9900"/>
          <w:sz w:val="27"/>
          <w:szCs w:val="27"/>
        </w:rPr>
        <w:t>ИЗВЕШТАЈ О ЕКОНОМСКО-ФИНАНСИЈСКОМ ПОЛОЖАЈУ СТЕЧАЈНОГ ДУЖНИКА</w:t>
      </w:r>
    </w:p>
    <w:p w14:paraId="78538CA8" w14:textId="54C70101" w:rsidR="00CF0C62" w:rsidRPr="006E352F" w:rsidRDefault="00263FB2" w:rsidP="006E352F">
      <w:pPr>
        <w:jc w:val="center"/>
        <w:rPr>
          <w:b/>
          <w:color w:val="FF9900"/>
          <w:sz w:val="25"/>
          <w:szCs w:val="25"/>
        </w:rPr>
      </w:pPr>
      <w:r>
        <w:rPr>
          <w:b/>
          <w:color w:val="FF9900"/>
          <w:sz w:val="25"/>
          <w:szCs w:val="25"/>
        </w:rPr>
        <w:t>СМЕРНИЦЕ ЗА ИЗРАДУ И НАЈЧЕШЋЕ НЕПРАВИЛНОСТИ У РАДУ СТЕЧАЈНИХ</w:t>
      </w:r>
      <w:r w:rsidR="005D7F31" w:rsidRPr="006E352F">
        <w:rPr>
          <w:b/>
          <w:color w:val="FF9900"/>
          <w:sz w:val="25"/>
          <w:szCs w:val="25"/>
        </w:rPr>
        <w:t xml:space="preserve"> УПРАВНИКА</w:t>
      </w:r>
    </w:p>
    <w:p w14:paraId="3848082F" w14:textId="77777777" w:rsidR="00CF0C62" w:rsidRDefault="00CF0C62" w:rsidP="00CF0C62"/>
    <w:p w14:paraId="77174615" w14:textId="0F3E45DE" w:rsidR="00835E37" w:rsidRDefault="00835E37" w:rsidP="00CF0C62"/>
    <w:p w14:paraId="3E6ED65B" w14:textId="630B21C6" w:rsidR="005C5AEA" w:rsidRDefault="00D87D54" w:rsidP="00CF0C62">
      <w:r>
        <w:rPr>
          <w:noProof/>
          <w:lang w:val="en-US"/>
        </w:rPr>
        <mc:AlternateContent>
          <mc:Choice Requires="wps">
            <w:drawing>
              <wp:anchor distT="0" distB="0" distL="228600" distR="228600" simplePos="0" relativeHeight="251659264" behindDoc="0" locked="0" layoutInCell="1" allowOverlap="1" wp14:anchorId="146E6A8E" wp14:editId="08397771">
                <wp:simplePos x="0" y="0"/>
                <wp:positionH relativeFrom="margin">
                  <wp:posOffset>4196080</wp:posOffset>
                </wp:positionH>
                <wp:positionV relativeFrom="margin">
                  <wp:posOffset>1671955</wp:posOffset>
                </wp:positionV>
                <wp:extent cx="1771015" cy="5715000"/>
                <wp:effectExtent l="19050" t="0" r="635" b="0"/>
                <wp:wrapSquare wrapText="bothSides"/>
                <wp:docPr id="141" name="Text Box 141"/>
                <wp:cNvGraphicFramePr/>
                <a:graphic xmlns:a="http://schemas.openxmlformats.org/drawingml/2006/main">
                  <a:graphicData uri="http://schemas.microsoft.com/office/word/2010/wordprocessingShape">
                    <wps:wsp>
                      <wps:cNvSpPr txBox="1"/>
                      <wps:spPr>
                        <a:xfrm>
                          <a:off x="0" y="0"/>
                          <a:ext cx="1771015" cy="5715000"/>
                        </a:xfrm>
                        <a:prstGeom prst="rect">
                          <a:avLst/>
                        </a:prstGeom>
                        <a:solidFill>
                          <a:schemeClr val="bg1"/>
                        </a:solidFill>
                        <a:ln w="6350">
                          <a:noFill/>
                        </a:ln>
                        <a:effectLst>
                          <a:outerShdw dist="19050" dir="10800000" algn="r" rotWithShape="0">
                            <a:schemeClr val="accent2"/>
                          </a:outerShdw>
                        </a:effectLst>
                      </wps:spPr>
                      <wps:style>
                        <a:lnRef idx="0">
                          <a:schemeClr val="accent1"/>
                        </a:lnRef>
                        <a:fillRef idx="0">
                          <a:schemeClr val="accent1"/>
                        </a:fillRef>
                        <a:effectRef idx="0">
                          <a:schemeClr val="accent1"/>
                        </a:effectRef>
                        <a:fontRef idx="minor">
                          <a:schemeClr val="dk1"/>
                        </a:fontRef>
                      </wps:style>
                      <wps:txbx>
                        <w:txbxContent>
                          <w:p w14:paraId="23464CB2" w14:textId="77777777" w:rsidR="00263FB2" w:rsidRDefault="00263FB2" w:rsidP="009A42CB">
                            <w:pPr>
                              <w:rPr>
                                <w:b/>
                                <w:color w:val="808080" w:themeColor="background1" w:themeShade="80"/>
                              </w:rPr>
                            </w:pPr>
                          </w:p>
                          <w:p w14:paraId="5AF9153D" w14:textId="77777777" w:rsidR="00263FB2" w:rsidRDefault="00263FB2" w:rsidP="009A42CB">
                            <w:pPr>
                              <w:rPr>
                                <w:b/>
                                <w:color w:val="808080" w:themeColor="background1" w:themeShade="80"/>
                              </w:rPr>
                            </w:pPr>
                          </w:p>
                          <w:p w14:paraId="77FD11F7" w14:textId="77777777" w:rsidR="009A42CB" w:rsidRPr="00F24BA8" w:rsidRDefault="009A42CB" w:rsidP="009A42CB">
                            <w:pPr>
                              <w:rPr>
                                <w:b/>
                                <w:color w:val="808080" w:themeColor="background1" w:themeShade="80"/>
                              </w:rPr>
                            </w:pPr>
                            <w:r w:rsidRPr="00F24BA8">
                              <w:rPr>
                                <w:b/>
                                <w:color w:val="808080" w:themeColor="background1" w:themeShade="80"/>
                              </w:rPr>
                              <w:t>Први извештај стечајног управника</w:t>
                            </w:r>
                          </w:p>
                          <w:p w14:paraId="42A735CE" w14:textId="77777777" w:rsidR="009A42CB" w:rsidRDefault="009A42CB" w:rsidP="009A42CB">
                            <w:pPr>
                              <w:rPr>
                                <w:color w:val="808080" w:themeColor="background1" w:themeShade="80"/>
                              </w:rPr>
                            </w:pPr>
                          </w:p>
                          <w:p w14:paraId="68FF48F0" w14:textId="77777777" w:rsidR="009B0F51" w:rsidRDefault="009B0F51" w:rsidP="009A42CB">
                            <w:pPr>
                              <w:rPr>
                                <w:b/>
                                <w:color w:val="808080" w:themeColor="background1" w:themeShade="80"/>
                              </w:rPr>
                            </w:pPr>
                          </w:p>
                          <w:p w14:paraId="249E1427" w14:textId="77777777" w:rsidR="009B0F51" w:rsidRDefault="009B0F51" w:rsidP="009A42CB">
                            <w:pPr>
                              <w:rPr>
                                <w:b/>
                                <w:color w:val="808080" w:themeColor="background1" w:themeShade="80"/>
                              </w:rPr>
                            </w:pPr>
                          </w:p>
                          <w:p w14:paraId="5F77E466" w14:textId="77777777" w:rsidR="009B0F51" w:rsidRDefault="009B0F51" w:rsidP="009A42CB">
                            <w:pPr>
                              <w:rPr>
                                <w:b/>
                                <w:color w:val="808080" w:themeColor="background1" w:themeShade="80"/>
                              </w:rPr>
                            </w:pPr>
                          </w:p>
                          <w:p w14:paraId="23C7EA18" w14:textId="61694A24" w:rsidR="009A42CB" w:rsidRPr="00F24BA8" w:rsidRDefault="009B0F51" w:rsidP="009A42CB">
                            <w:pPr>
                              <w:rPr>
                                <w:b/>
                              </w:rPr>
                            </w:pPr>
                            <w:r>
                              <w:rPr>
                                <w:b/>
                                <w:color w:val="808080" w:themeColor="background1" w:themeShade="80"/>
                              </w:rPr>
                              <w:t>Ре</w:t>
                            </w:r>
                            <w:r w:rsidR="009A42CB" w:rsidRPr="00F24BA8">
                              <w:rPr>
                                <w:b/>
                                <w:color w:val="808080" w:themeColor="background1" w:themeShade="80"/>
                              </w:rPr>
                              <w:t>зултат рада стечајног управника</w:t>
                            </w:r>
                            <w:r w:rsidR="009A42CB" w:rsidRPr="00F24BA8">
                              <w:rPr>
                                <w:b/>
                              </w:rPr>
                              <w:t xml:space="preserve"> </w:t>
                            </w:r>
                          </w:p>
                          <w:p w14:paraId="476C4E6B" w14:textId="77777777" w:rsidR="009A42CB" w:rsidRDefault="009A42CB" w:rsidP="009A42CB"/>
                          <w:p w14:paraId="21094573" w14:textId="77777777" w:rsidR="009A42CB" w:rsidRDefault="009A42CB" w:rsidP="009A42CB"/>
                          <w:p w14:paraId="1D11947B" w14:textId="5B59A528" w:rsidR="009B0F51" w:rsidRDefault="009B0F51" w:rsidP="009A42CB">
                            <w:pPr>
                              <w:rPr>
                                <w:b/>
                                <w:color w:val="808080" w:themeColor="background1" w:themeShade="80"/>
                              </w:rPr>
                            </w:pPr>
                            <w:r>
                              <w:rPr>
                                <w:b/>
                                <w:color w:val="808080" w:themeColor="background1" w:themeShade="80"/>
                              </w:rPr>
                              <w:t>П</w:t>
                            </w:r>
                            <w:r w:rsidRPr="009B0F51">
                              <w:rPr>
                                <w:b/>
                                <w:color w:val="808080" w:themeColor="background1" w:themeShade="80"/>
                              </w:rPr>
                              <w:t>оказатељ квалитета рада стечајног управника</w:t>
                            </w:r>
                          </w:p>
                          <w:p w14:paraId="4679F884" w14:textId="77777777" w:rsidR="009B0F51" w:rsidRDefault="009B0F51" w:rsidP="009A42CB">
                            <w:pPr>
                              <w:rPr>
                                <w:b/>
                                <w:color w:val="808080" w:themeColor="background1" w:themeShade="80"/>
                              </w:rPr>
                            </w:pPr>
                          </w:p>
                          <w:p w14:paraId="3679AA83" w14:textId="77777777" w:rsidR="00263FB2" w:rsidRDefault="00263FB2" w:rsidP="009A42CB">
                            <w:pPr>
                              <w:rPr>
                                <w:b/>
                                <w:color w:val="808080" w:themeColor="background1" w:themeShade="80"/>
                              </w:rPr>
                            </w:pPr>
                          </w:p>
                          <w:p w14:paraId="5C56CB56" w14:textId="77777777" w:rsidR="00835E37" w:rsidRDefault="00835E37" w:rsidP="009A42CB">
                            <w:pPr>
                              <w:rPr>
                                <w:b/>
                                <w:color w:val="808080" w:themeColor="background1" w:themeShade="80"/>
                              </w:rPr>
                            </w:pPr>
                            <w:r>
                              <w:rPr>
                                <w:b/>
                                <w:color w:val="808080" w:themeColor="background1" w:themeShade="80"/>
                              </w:rPr>
                              <w:t>Нарочита дужност стечајног управника</w:t>
                            </w:r>
                          </w:p>
                          <w:p w14:paraId="517E60A4" w14:textId="77777777" w:rsidR="00835E37" w:rsidRDefault="00835E37" w:rsidP="009A42CB">
                            <w:pPr>
                              <w:rPr>
                                <w:b/>
                                <w:color w:val="808080" w:themeColor="background1" w:themeShade="80"/>
                              </w:rPr>
                            </w:pPr>
                          </w:p>
                          <w:p w14:paraId="4F73478F" w14:textId="77777777" w:rsidR="00835E37" w:rsidRDefault="00835E37" w:rsidP="009A42CB">
                            <w:pPr>
                              <w:rPr>
                                <w:b/>
                                <w:color w:val="808080" w:themeColor="background1" w:themeShade="80"/>
                              </w:rPr>
                            </w:pPr>
                          </w:p>
                          <w:p w14:paraId="373EB9E2" w14:textId="77777777" w:rsidR="009A42CB" w:rsidRDefault="009A42CB" w:rsidP="009A42CB">
                            <w:pPr>
                              <w:rPr>
                                <w:color w:val="808080" w:themeColor="background1" w:themeShade="80"/>
                              </w:rPr>
                            </w:pPr>
                          </w:p>
                          <w:p w14:paraId="7C6DF57B" w14:textId="77777777" w:rsidR="009A42CB" w:rsidRDefault="009A42CB" w:rsidP="009A42CB">
                            <w:pPr>
                              <w:rPr>
                                <w:color w:val="808080" w:themeColor="background1" w:themeShade="80"/>
                              </w:rPr>
                            </w:pPr>
                          </w:p>
                          <w:p w14:paraId="216F5C7B" w14:textId="77777777" w:rsidR="009A42CB" w:rsidRDefault="009A42CB" w:rsidP="009A42CB">
                            <w:pPr>
                              <w:rPr>
                                <w:color w:val="808080" w:themeColor="background1" w:themeShade="80"/>
                              </w:rPr>
                            </w:pPr>
                          </w:p>
                          <w:p w14:paraId="483BAAA2" w14:textId="77777777" w:rsidR="009A42CB" w:rsidRDefault="009A42CB" w:rsidP="009A42CB">
                            <w:pPr>
                              <w:rPr>
                                <w:color w:val="808080" w:themeColor="background1" w:themeShade="80"/>
                              </w:rPr>
                            </w:pPr>
                          </w:p>
                          <w:p w14:paraId="340DDB6C" w14:textId="77777777" w:rsidR="009A42CB" w:rsidRDefault="009A42CB" w:rsidP="009A42CB">
                            <w:pPr>
                              <w:rPr>
                                <w:color w:val="808080" w:themeColor="background1" w:themeShade="80"/>
                              </w:rPr>
                            </w:pPr>
                          </w:p>
                          <w:p w14:paraId="12A79E85" w14:textId="77777777" w:rsidR="009A42CB" w:rsidRDefault="009A42CB" w:rsidP="009A42CB">
                            <w:pPr>
                              <w:rPr>
                                <w:color w:val="808080" w:themeColor="background1" w:themeShade="80"/>
                              </w:rPr>
                            </w:pPr>
                          </w:p>
                          <w:p w14:paraId="43791774" w14:textId="77777777" w:rsidR="009A42CB" w:rsidRDefault="009A42CB" w:rsidP="009A42CB">
                            <w:pPr>
                              <w:rPr>
                                <w:color w:val="808080" w:themeColor="background1" w:themeShade="80"/>
                              </w:rPr>
                            </w:pPr>
                          </w:p>
                          <w:p w14:paraId="17858D64" w14:textId="77777777" w:rsidR="009A42CB" w:rsidRDefault="009A42CB" w:rsidP="009A42CB">
                            <w:pPr>
                              <w:rPr>
                                <w:color w:val="808080" w:themeColor="background1" w:themeShade="80"/>
                              </w:rPr>
                            </w:pPr>
                          </w:p>
                          <w:p w14:paraId="798DFD68" w14:textId="77777777" w:rsidR="009A42CB" w:rsidRDefault="009A42CB" w:rsidP="009A42CB">
                            <w:pPr>
                              <w:rPr>
                                <w:color w:val="808080" w:themeColor="background1" w:themeShade="80"/>
                              </w:rPr>
                            </w:pPr>
                          </w:p>
                          <w:p w14:paraId="573F74F1" w14:textId="77777777" w:rsidR="009A42CB" w:rsidRDefault="009A42CB" w:rsidP="009A42CB">
                            <w:pPr>
                              <w:rPr>
                                <w:color w:val="808080" w:themeColor="background1" w:themeShade="80"/>
                              </w:rPr>
                            </w:pPr>
                          </w:p>
                          <w:p w14:paraId="38762CA0" w14:textId="77777777" w:rsidR="009A42CB" w:rsidRDefault="009A42CB" w:rsidP="009A42CB">
                            <w:pPr>
                              <w:rPr>
                                <w:color w:val="808080" w:themeColor="background1" w:themeShade="80"/>
                              </w:rPr>
                            </w:pPr>
                          </w:p>
                          <w:p w14:paraId="289ABF42" w14:textId="77777777" w:rsidR="009A42CB" w:rsidRDefault="009A42CB" w:rsidP="009A42CB">
                            <w:pPr>
                              <w:rPr>
                                <w:color w:val="808080" w:themeColor="background1" w:themeShade="80"/>
                              </w:rPr>
                            </w:pPr>
                          </w:p>
                          <w:p w14:paraId="53A8053E" w14:textId="77777777" w:rsidR="009A42CB" w:rsidRDefault="009A42CB" w:rsidP="009A42CB">
                            <w:pPr>
                              <w:rPr>
                                <w:color w:val="808080" w:themeColor="background1" w:themeShade="80"/>
                              </w:rPr>
                            </w:pPr>
                          </w:p>
                          <w:p w14:paraId="6FDDF330" w14:textId="77777777" w:rsidR="009A42CB" w:rsidRDefault="009A42CB" w:rsidP="009A42CB">
                            <w:pPr>
                              <w:rPr>
                                <w:color w:val="808080" w:themeColor="background1" w:themeShade="80"/>
                              </w:rPr>
                            </w:pPr>
                          </w:p>
                        </w:txbxContent>
                      </wps:txbx>
                      <wps:bodyPr rot="0" spcFirstLastPara="0" vertOverflow="overflow" horzOverflow="overflow" vert="horz" wrap="square" lIns="228600" tIns="137160" rIns="0" bIns="13716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6E6A8E" id="_x0000_t202" coordsize="21600,21600" o:spt="202" path="m,l,21600r21600,l21600,xe">
                <v:stroke joinstyle="miter"/>
                <v:path gradientshapeok="t" o:connecttype="rect"/>
              </v:shapetype>
              <v:shape id="Text Box 141" o:spid="_x0000_s1026" type="#_x0000_t202" style="position:absolute;margin-left:330.4pt;margin-top:131.65pt;width:139.45pt;height:450pt;z-index:251659264;visibility:visible;mso-wrap-style:square;mso-width-percent:0;mso-height-percent:0;mso-wrap-distance-left:18pt;mso-wrap-distance-top:0;mso-wrap-distance-right:18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yRxxAIAAAgGAAAOAAAAZHJzL2Uyb0RvYy54bWysVMlu2zAQvRfoPxC8N5KceqkROXATpCgQ&#10;JEGdImeaoiyhFMmStCX36/tIWc7S9JCiF2mGfDOcebOcnXeNJDthXa1VTrOTlBKhuC5qtcnp9/ur&#10;DzNKnGeqYFIrkdO9cPR88f7dWWvmYqQrLQthCZwoN29NTivvzTxJHK9Ew9yJNkLhstS2YR6q3SSF&#10;ZS28NzIZpekkabUtjNVcOIfTy/6SLqL/shTc35alE57InCI2H782ftfhmyzO2HxjmalqfgiD/UMU&#10;DasVHj26umSeka2t/3DV1Nxqp0t/wnWT6LKsuYg5IJssfZHNqmJGxFxAjjNHmtz/c8tvdneW1AVq&#10;9zGjRLEGRboXnSefdUfCGRhqjZsDuDKA+g4XQA/nDoch8a60TfgjJYJ7cL0/8hvc8WA0nWZpNqaE&#10;4248zcZpGiuQPJob6/wXoRsShJxaFDDyynbXziMUQAdIeM1pWRdXtZRRCU0jLqQlO4ZyrzcxSFg8&#10;Q0lF2pxOTsdpdKx0MO89SxXciNg2eC6ms/XCrqqiJUUdAso+pTCEgh7K0hkSQAqEyQ2631JitX+o&#10;fRULF9J/JSzGuVB+FPhDaHrwH7UnTyeB9J7cKPm9FMGbVN9EiYJFjv/qfsg8ogOqRJJvMTzgg2kf&#10;1FuMjxbxZa380biplbavsVL8GEIuezz4eJJ3EH237g7NuNbFHr0ItmOnOcOvavTLNXP+jlkMMGqC&#10;peRv8SmlRr31QaKk0vbXa+cBj7nCLSUtFkJO3c8ts4IS+VVh4kaj2STU2kctO51mE2g2ahDWz47V&#10;trnQ6EGMFIKLYgB7OYil1c0DVtcyPIorpjiezqkfxAvfbymsPi6WywjCyjDMX6uV4cF1YDcMw333&#10;wKw5TIzHsN3oYXOw+YvB6bHBUunl1uuyjlMV+O1JPfCOdRM78rAawz57qkfU4wJf/AYAAP//AwBQ&#10;SwMEFAAGAAgAAAAhAHMSdkfeAAAADAEAAA8AAABkcnMvZG93bnJldi54bWxMj8FOwzAMhu9Ie4fI&#10;k7ixtAsqtDSdEBKXndjYA2SN11ZrnCrJtvL2eCc42v70+/vrzexGccUQB08a8lUGAqn1dqBOw+H7&#10;8+kVREyGrBk9oYYfjLBpFg+1qay/0Q6v+9QJDqFYGQ19SlMlZWx7dCau/ITEt5MPziQeQydtMDcO&#10;d6NcZ1khnRmIP/Rmwo8e2/P+4jSE7UH1p+dYdvm53HmlYr79arV+XM7vbyASzukPhrs+q0PDTkd/&#10;IRvFqKEoMlZPGtaFUiCYKFX5AuLIaH5fyaaW/0s0vwAAAP//AwBQSwECLQAUAAYACAAAACEAtoM4&#10;kv4AAADhAQAAEwAAAAAAAAAAAAAAAAAAAAAAW0NvbnRlbnRfVHlwZXNdLnhtbFBLAQItABQABgAI&#10;AAAAIQA4/SH/1gAAAJQBAAALAAAAAAAAAAAAAAAAAC8BAABfcmVscy8ucmVsc1BLAQItABQABgAI&#10;AAAAIQCUmyRxxAIAAAgGAAAOAAAAAAAAAAAAAAAAAC4CAABkcnMvZTJvRG9jLnhtbFBLAQItABQA&#10;BgAIAAAAIQBzEnZH3gAAAAwBAAAPAAAAAAAAAAAAAAAAAB4FAABkcnMvZG93bnJldi54bWxQSwUG&#10;AAAAAAQABADzAAAAKQYAAAAA&#10;" fillcolor="white [3212]" stroked="f" strokeweight=".5pt">
                <v:shadow on="t" color="#ed7d31 [3205]" origin=".5" offset="-1.5pt,0"/>
                <v:textbox inset="18pt,10.8pt,0,10.8pt">
                  <w:txbxContent>
                    <w:p w14:paraId="23464CB2" w14:textId="77777777" w:rsidR="00263FB2" w:rsidRDefault="00263FB2" w:rsidP="009A42CB">
                      <w:pPr>
                        <w:rPr>
                          <w:b/>
                          <w:color w:val="808080" w:themeColor="background1" w:themeShade="80"/>
                        </w:rPr>
                      </w:pPr>
                    </w:p>
                    <w:p w14:paraId="5AF9153D" w14:textId="77777777" w:rsidR="00263FB2" w:rsidRDefault="00263FB2" w:rsidP="009A42CB">
                      <w:pPr>
                        <w:rPr>
                          <w:b/>
                          <w:color w:val="808080" w:themeColor="background1" w:themeShade="80"/>
                        </w:rPr>
                      </w:pPr>
                    </w:p>
                    <w:p w14:paraId="77FD11F7" w14:textId="77777777" w:rsidR="009A42CB" w:rsidRPr="00F24BA8" w:rsidRDefault="009A42CB" w:rsidP="009A42CB">
                      <w:pPr>
                        <w:rPr>
                          <w:b/>
                          <w:color w:val="808080" w:themeColor="background1" w:themeShade="80"/>
                        </w:rPr>
                      </w:pPr>
                      <w:r w:rsidRPr="00F24BA8">
                        <w:rPr>
                          <w:b/>
                          <w:color w:val="808080" w:themeColor="background1" w:themeShade="80"/>
                        </w:rPr>
                        <w:t>Први извештај стечајног управника</w:t>
                      </w:r>
                    </w:p>
                    <w:p w14:paraId="42A735CE" w14:textId="77777777" w:rsidR="009A42CB" w:rsidRDefault="009A42CB" w:rsidP="009A42CB">
                      <w:pPr>
                        <w:rPr>
                          <w:color w:val="808080" w:themeColor="background1" w:themeShade="80"/>
                        </w:rPr>
                      </w:pPr>
                    </w:p>
                    <w:p w14:paraId="68FF48F0" w14:textId="77777777" w:rsidR="009B0F51" w:rsidRDefault="009B0F51" w:rsidP="009A42CB">
                      <w:pPr>
                        <w:rPr>
                          <w:b/>
                          <w:color w:val="808080" w:themeColor="background1" w:themeShade="80"/>
                        </w:rPr>
                      </w:pPr>
                    </w:p>
                    <w:p w14:paraId="249E1427" w14:textId="77777777" w:rsidR="009B0F51" w:rsidRDefault="009B0F51" w:rsidP="009A42CB">
                      <w:pPr>
                        <w:rPr>
                          <w:b/>
                          <w:color w:val="808080" w:themeColor="background1" w:themeShade="80"/>
                        </w:rPr>
                      </w:pPr>
                    </w:p>
                    <w:p w14:paraId="5F77E466" w14:textId="77777777" w:rsidR="009B0F51" w:rsidRDefault="009B0F51" w:rsidP="009A42CB">
                      <w:pPr>
                        <w:rPr>
                          <w:b/>
                          <w:color w:val="808080" w:themeColor="background1" w:themeShade="80"/>
                        </w:rPr>
                      </w:pPr>
                    </w:p>
                    <w:p w14:paraId="23C7EA18" w14:textId="61694A24" w:rsidR="009A42CB" w:rsidRPr="00F24BA8" w:rsidRDefault="009B0F51" w:rsidP="009A42CB">
                      <w:pPr>
                        <w:rPr>
                          <w:b/>
                        </w:rPr>
                      </w:pPr>
                      <w:r>
                        <w:rPr>
                          <w:b/>
                          <w:color w:val="808080" w:themeColor="background1" w:themeShade="80"/>
                        </w:rPr>
                        <w:t>Ре</w:t>
                      </w:r>
                      <w:r w:rsidR="009A42CB" w:rsidRPr="00F24BA8">
                        <w:rPr>
                          <w:b/>
                          <w:color w:val="808080" w:themeColor="background1" w:themeShade="80"/>
                        </w:rPr>
                        <w:t>зултат рада стечајног управника</w:t>
                      </w:r>
                      <w:r w:rsidR="009A42CB" w:rsidRPr="00F24BA8">
                        <w:rPr>
                          <w:b/>
                        </w:rPr>
                        <w:t xml:space="preserve"> </w:t>
                      </w:r>
                    </w:p>
                    <w:p w14:paraId="476C4E6B" w14:textId="77777777" w:rsidR="009A42CB" w:rsidRDefault="009A42CB" w:rsidP="009A42CB"/>
                    <w:p w14:paraId="21094573" w14:textId="77777777" w:rsidR="009A42CB" w:rsidRDefault="009A42CB" w:rsidP="009A42CB"/>
                    <w:p w14:paraId="1D11947B" w14:textId="5B59A528" w:rsidR="009B0F51" w:rsidRDefault="009B0F51" w:rsidP="009A42CB">
                      <w:pPr>
                        <w:rPr>
                          <w:b/>
                          <w:color w:val="808080" w:themeColor="background1" w:themeShade="80"/>
                        </w:rPr>
                      </w:pPr>
                      <w:r>
                        <w:rPr>
                          <w:b/>
                          <w:color w:val="808080" w:themeColor="background1" w:themeShade="80"/>
                        </w:rPr>
                        <w:t>П</w:t>
                      </w:r>
                      <w:r w:rsidRPr="009B0F51">
                        <w:rPr>
                          <w:b/>
                          <w:color w:val="808080" w:themeColor="background1" w:themeShade="80"/>
                        </w:rPr>
                        <w:t>оказатељ квалитета рада стечајног управника</w:t>
                      </w:r>
                    </w:p>
                    <w:p w14:paraId="4679F884" w14:textId="77777777" w:rsidR="009B0F51" w:rsidRDefault="009B0F51" w:rsidP="009A42CB">
                      <w:pPr>
                        <w:rPr>
                          <w:b/>
                          <w:color w:val="808080" w:themeColor="background1" w:themeShade="80"/>
                        </w:rPr>
                      </w:pPr>
                    </w:p>
                    <w:p w14:paraId="3679AA83" w14:textId="77777777" w:rsidR="00263FB2" w:rsidRDefault="00263FB2" w:rsidP="009A42CB">
                      <w:pPr>
                        <w:rPr>
                          <w:b/>
                          <w:color w:val="808080" w:themeColor="background1" w:themeShade="80"/>
                        </w:rPr>
                      </w:pPr>
                    </w:p>
                    <w:p w14:paraId="5C56CB56" w14:textId="77777777" w:rsidR="00835E37" w:rsidRDefault="00835E37" w:rsidP="009A42CB">
                      <w:pPr>
                        <w:rPr>
                          <w:b/>
                          <w:color w:val="808080" w:themeColor="background1" w:themeShade="80"/>
                        </w:rPr>
                      </w:pPr>
                      <w:r>
                        <w:rPr>
                          <w:b/>
                          <w:color w:val="808080" w:themeColor="background1" w:themeShade="80"/>
                        </w:rPr>
                        <w:t>Нарочита дужност стечајног управника</w:t>
                      </w:r>
                    </w:p>
                    <w:p w14:paraId="517E60A4" w14:textId="77777777" w:rsidR="00835E37" w:rsidRDefault="00835E37" w:rsidP="009A42CB">
                      <w:pPr>
                        <w:rPr>
                          <w:b/>
                          <w:color w:val="808080" w:themeColor="background1" w:themeShade="80"/>
                        </w:rPr>
                      </w:pPr>
                    </w:p>
                    <w:p w14:paraId="4F73478F" w14:textId="77777777" w:rsidR="00835E37" w:rsidRDefault="00835E37" w:rsidP="009A42CB">
                      <w:pPr>
                        <w:rPr>
                          <w:b/>
                          <w:color w:val="808080" w:themeColor="background1" w:themeShade="80"/>
                        </w:rPr>
                      </w:pPr>
                    </w:p>
                    <w:p w14:paraId="373EB9E2" w14:textId="77777777" w:rsidR="009A42CB" w:rsidRDefault="009A42CB" w:rsidP="009A42CB">
                      <w:pPr>
                        <w:rPr>
                          <w:color w:val="808080" w:themeColor="background1" w:themeShade="80"/>
                        </w:rPr>
                      </w:pPr>
                    </w:p>
                    <w:p w14:paraId="7C6DF57B" w14:textId="77777777" w:rsidR="009A42CB" w:rsidRDefault="009A42CB" w:rsidP="009A42CB">
                      <w:pPr>
                        <w:rPr>
                          <w:color w:val="808080" w:themeColor="background1" w:themeShade="80"/>
                        </w:rPr>
                      </w:pPr>
                    </w:p>
                    <w:p w14:paraId="216F5C7B" w14:textId="77777777" w:rsidR="009A42CB" w:rsidRDefault="009A42CB" w:rsidP="009A42CB">
                      <w:pPr>
                        <w:rPr>
                          <w:color w:val="808080" w:themeColor="background1" w:themeShade="80"/>
                        </w:rPr>
                      </w:pPr>
                    </w:p>
                    <w:p w14:paraId="483BAAA2" w14:textId="77777777" w:rsidR="009A42CB" w:rsidRDefault="009A42CB" w:rsidP="009A42CB">
                      <w:pPr>
                        <w:rPr>
                          <w:color w:val="808080" w:themeColor="background1" w:themeShade="80"/>
                        </w:rPr>
                      </w:pPr>
                    </w:p>
                    <w:p w14:paraId="340DDB6C" w14:textId="77777777" w:rsidR="009A42CB" w:rsidRDefault="009A42CB" w:rsidP="009A42CB">
                      <w:pPr>
                        <w:rPr>
                          <w:color w:val="808080" w:themeColor="background1" w:themeShade="80"/>
                        </w:rPr>
                      </w:pPr>
                    </w:p>
                    <w:p w14:paraId="12A79E85" w14:textId="77777777" w:rsidR="009A42CB" w:rsidRDefault="009A42CB" w:rsidP="009A42CB">
                      <w:pPr>
                        <w:rPr>
                          <w:color w:val="808080" w:themeColor="background1" w:themeShade="80"/>
                        </w:rPr>
                      </w:pPr>
                    </w:p>
                    <w:p w14:paraId="43791774" w14:textId="77777777" w:rsidR="009A42CB" w:rsidRDefault="009A42CB" w:rsidP="009A42CB">
                      <w:pPr>
                        <w:rPr>
                          <w:color w:val="808080" w:themeColor="background1" w:themeShade="80"/>
                        </w:rPr>
                      </w:pPr>
                    </w:p>
                    <w:p w14:paraId="17858D64" w14:textId="77777777" w:rsidR="009A42CB" w:rsidRDefault="009A42CB" w:rsidP="009A42CB">
                      <w:pPr>
                        <w:rPr>
                          <w:color w:val="808080" w:themeColor="background1" w:themeShade="80"/>
                        </w:rPr>
                      </w:pPr>
                    </w:p>
                    <w:p w14:paraId="798DFD68" w14:textId="77777777" w:rsidR="009A42CB" w:rsidRDefault="009A42CB" w:rsidP="009A42CB">
                      <w:pPr>
                        <w:rPr>
                          <w:color w:val="808080" w:themeColor="background1" w:themeShade="80"/>
                        </w:rPr>
                      </w:pPr>
                    </w:p>
                    <w:p w14:paraId="573F74F1" w14:textId="77777777" w:rsidR="009A42CB" w:rsidRDefault="009A42CB" w:rsidP="009A42CB">
                      <w:pPr>
                        <w:rPr>
                          <w:color w:val="808080" w:themeColor="background1" w:themeShade="80"/>
                        </w:rPr>
                      </w:pPr>
                    </w:p>
                    <w:p w14:paraId="38762CA0" w14:textId="77777777" w:rsidR="009A42CB" w:rsidRDefault="009A42CB" w:rsidP="009A42CB">
                      <w:pPr>
                        <w:rPr>
                          <w:color w:val="808080" w:themeColor="background1" w:themeShade="80"/>
                        </w:rPr>
                      </w:pPr>
                    </w:p>
                    <w:p w14:paraId="289ABF42" w14:textId="77777777" w:rsidR="009A42CB" w:rsidRDefault="009A42CB" w:rsidP="009A42CB">
                      <w:pPr>
                        <w:rPr>
                          <w:color w:val="808080" w:themeColor="background1" w:themeShade="80"/>
                        </w:rPr>
                      </w:pPr>
                    </w:p>
                    <w:p w14:paraId="53A8053E" w14:textId="77777777" w:rsidR="009A42CB" w:rsidRDefault="009A42CB" w:rsidP="009A42CB">
                      <w:pPr>
                        <w:rPr>
                          <w:color w:val="808080" w:themeColor="background1" w:themeShade="80"/>
                        </w:rPr>
                      </w:pPr>
                    </w:p>
                    <w:p w14:paraId="6FDDF330" w14:textId="77777777" w:rsidR="009A42CB" w:rsidRDefault="009A42CB" w:rsidP="009A42CB">
                      <w:pPr>
                        <w:rPr>
                          <w:color w:val="808080" w:themeColor="background1" w:themeShade="80"/>
                        </w:rPr>
                      </w:pPr>
                    </w:p>
                  </w:txbxContent>
                </v:textbox>
                <w10:wrap type="square" anchorx="margin" anchory="margin"/>
              </v:shape>
            </w:pict>
          </mc:Fallback>
        </mc:AlternateContent>
      </w:r>
    </w:p>
    <w:p w14:paraId="3D222E63" w14:textId="77777777" w:rsidR="00955ADE" w:rsidRDefault="00371681" w:rsidP="00D87D54">
      <w:pPr>
        <w:ind w:firstLine="720"/>
        <w:jc w:val="both"/>
      </w:pPr>
      <w:r>
        <w:t>И</w:t>
      </w:r>
      <w:r w:rsidRPr="00371681">
        <w:t xml:space="preserve">звештај о </w:t>
      </w:r>
      <w:r w:rsidRPr="00F24BA8">
        <w:t xml:space="preserve">економско-финансијском положају стечајног дужника (у даљем тексту: </w:t>
      </w:r>
      <w:r w:rsidR="0064336F" w:rsidRPr="00F24BA8">
        <w:t>ЕФИ</w:t>
      </w:r>
      <w:r w:rsidRPr="00F24BA8">
        <w:t xml:space="preserve">) је први извештај </w:t>
      </w:r>
      <w:r w:rsidR="00AA2F88" w:rsidRPr="00F24BA8">
        <w:t>који сачињава стечајни управник у конкретном стечајном поступку.</w:t>
      </w:r>
    </w:p>
    <w:p w14:paraId="01F8508A" w14:textId="3F7AE826" w:rsidR="00EF4057" w:rsidRDefault="009B0F51" w:rsidP="00D87D54">
      <w:pPr>
        <w:ind w:firstLine="720"/>
        <w:jc w:val="both"/>
      </w:pPr>
      <w:r>
        <w:t>Наиме, н</w:t>
      </w:r>
      <w:r w:rsidR="00EF4057">
        <w:t>акон именовања у стечајном поступку, у периоду д</w:t>
      </w:r>
      <w:r w:rsidR="006E352F">
        <w:t xml:space="preserve">о израде ЕФИ-ја, стечајни управник </w:t>
      </w:r>
      <w:r>
        <w:t>предузима раз</w:t>
      </w:r>
      <w:r w:rsidR="00263FB2">
        <w:t>н</w:t>
      </w:r>
      <w:r>
        <w:t xml:space="preserve">е активности, између осталог, </w:t>
      </w:r>
      <w:r w:rsidR="006E352F">
        <w:t xml:space="preserve">обраћа </w:t>
      </w:r>
      <w:r>
        <w:t xml:space="preserve">се </w:t>
      </w:r>
      <w:r w:rsidR="006E352F">
        <w:t xml:space="preserve">стечајном судији са захтевима за </w:t>
      </w:r>
      <w:r w:rsidR="00EF4057">
        <w:t>добијање неопходних</w:t>
      </w:r>
      <w:r w:rsidR="006E352F">
        <w:t xml:space="preserve"> сагласности (ангажовање лица, трошкови, предузимање хитних активности и др)</w:t>
      </w:r>
      <w:r w:rsidR="00EF4057">
        <w:t xml:space="preserve">. Такође, </w:t>
      </w:r>
      <w:r w:rsidR="006E352F">
        <w:t xml:space="preserve">током </w:t>
      </w:r>
      <w:r w:rsidR="00263FB2">
        <w:t xml:space="preserve">наведеног </w:t>
      </w:r>
      <w:r w:rsidR="006E352F">
        <w:t xml:space="preserve">периода </w:t>
      </w:r>
      <w:r w:rsidR="00263FB2">
        <w:t>чести</w:t>
      </w:r>
      <w:r w:rsidR="00EF4057">
        <w:t xml:space="preserve"> су и контакти</w:t>
      </w:r>
      <w:r>
        <w:t xml:space="preserve"> стечајног управника</w:t>
      </w:r>
      <w:r w:rsidR="00EF4057">
        <w:t xml:space="preserve"> са повериоцима.</w:t>
      </w:r>
    </w:p>
    <w:p w14:paraId="635A50D2" w14:textId="6F2BA75A" w:rsidR="00AA2F88" w:rsidRDefault="00EF4057" w:rsidP="00D87D54">
      <w:pPr>
        <w:ind w:firstLine="720"/>
        <w:jc w:val="both"/>
      </w:pPr>
      <w:r>
        <w:t>Међутим, ЕФИ, као први извештај стечајног управника,  п</w:t>
      </w:r>
      <w:r w:rsidR="00AA2F88" w:rsidRPr="00F24BA8">
        <w:t xml:space="preserve">редставља </w:t>
      </w:r>
      <w:r w:rsidR="00120792" w:rsidRPr="00F24BA8">
        <w:t>резул</w:t>
      </w:r>
      <w:r w:rsidR="00AA2F88" w:rsidRPr="00F24BA8">
        <w:t xml:space="preserve">тат рада у </w:t>
      </w:r>
      <w:r w:rsidR="00263FB2">
        <w:t xml:space="preserve">току </w:t>
      </w:r>
      <w:r w:rsidR="00AA2F88" w:rsidRPr="00F24BA8">
        <w:t xml:space="preserve">првих месец дана ангажовања и има за циљ </w:t>
      </w:r>
      <w:r w:rsidR="003E4457" w:rsidRPr="00F24BA8">
        <w:t>извештавање</w:t>
      </w:r>
      <w:r w:rsidR="00AA2F88" w:rsidRPr="00F24BA8">
        <w:t xml:space="preserve"> стечајно</w:t>
      </w:r>
      <w:r w:rsidR="003E4457" w:rsidRPr="00F24BA8">
        <w:t>г</w:t>
      </w:r>
      <w:r w:rsidR="00AA2F88" w:rsidRPr="00F24BA8">
        <w:t xml:space="preserve"> су</w:t>
      </w:r>
      <w:r w:rsidR="003E4457" w:rsidRPr="00F24BA8">
        <w:t>дије, поверилаца</w:t>
      </w:r>
      <w:r w:rsidR="001638CF">
        <w:t xml:space="preserve"> и Агенције</w:t>
      </w:r>
      <w:r w:rsidR="00AA2F88" w:rsidRPr="00F24BA8">
        <w:t xml:space="preserve"> за лиценцирање стечајних управника (у даљем тексту: Агенција</w:t>
      </w:r>
      <w:r w:rsidR="00AA2F88">
        <w:t>) о предузетим активностима</w:t>
      </w:r>
      <w:r w:rsidR="00120792">
        <w:t xml:space="preserve"> на преузимању, заштити, попису и процени вредности имовине стечајног дужника, као и </w:t>
      </w:r>
      <w:r>
        <w:t xml:space="preserve">о </w:t>
      </w:r>
      <w:r w:rsidR="00120792">
        <w:t>вероватним обавезама и трошковима стечајног поступка</w:t>
      </w:r>
      <w:r w:rsidR="00AA2F88">
        <w:t>.</w:t>
      </w:r>
    </w:p>
    <w:p w14:paraId="47AE56F6" w14:textId="1B875E54" w:rsidR="00EF4057" w:rsidRDefault="00EF4057" w:rsidP="00D87D54">
      <w:pPr>
        <w:ind w:firstLine="720"/>
        <w:jc w:val="both"/>
      </w:pPr>
      <w:r>
        <w:t>Иако је</w:t>
      </w:r>
      <w:r w:rsidRPr="00EF4057">
        <w:t xml:space="preserve"> </w:t>
      </w:r>
      <w:r w:rsidR="009B0F51">
        <w:t xml:space="preserve">ЕФИ, пре свега - </w:t>
      </w:r>
      <w:r>
        <w:t xml:space="preserve">смерница повериоцима када и у ком износу могу очекивати намирење својих потраживања у конкретном </w:t>
      </w:r>
      <w:r w:rsidR="00263FB2">
        <w:t xml:space="preserve">поступку, с друге стране, ЕФИ </w:t>
      </w:r>
      <w:r w:rsidR="00AA6A6D">
        <w:t xml:space="preserve">судији, повериоцима и Агенцији </w:t>
      </w:r>
      <w:r w:rsidR="00263FB2">
        <w:t xml:space="preserve">представља </w:t>
      </w:r>
      <w:r w:rsidR="00AA6A6D">
        <w:t xml:space="preserve">значајан показатељ професионалности и квалитета рада стечајног управника. </w:t>
      </w:r>
    </w:p>
    <w:p w14:paraId="2D0889CE" w14:textId="1378FB1D" w:rsidR="009B0F51" w:rsidRDefault="000230C6" w:rsidP="00D87D54">
      <w:pPr>
        <w:ind w:firstLine="720"/>
        <w:jc w:val="both"/>
      </w:pPr>
      <w:r>
        <w:t xml:space="preserve">Сачињавање и </w:t>
      </w:r>
      <w:r w:rsidR="005A104F">
        <w:t xml:space="preserve">достављање ЕФИ-ја прописано је </w:t>
      </w:r>
      <w:r w:rsidR="00263FB2">
        <w:t>Законом о стечају (</w:t>
      </w:r>
      <w:r w:rsidR="005A104F">
        <w:t>З</w:t>
      </w:r>
      <w:r>
        <w:t>аконом</w:t>
      </w:r>
      <w:r w:rsidR="00263FB2">
        <w:t xml:space="preserve"> о стечајном поступку)</w:t>
      </w:r>
      <w:r>
        <w:t xml:space="preserve"> и Правилником</w:t>
      </w:r>
      <w:r w:rsidRPr="000230C6">
        <w:t xml:space="preserve"> о утврђивању националних стандарда за управљање стечајном масом</w:t>
      </w:r>
      <w:r w:rsidR="005A104F">
        <w:t xml:space="preserve"> </w:t>
      </w:r>
      <w:r w:rsidR="00D87D54">
        <w:t xml:space="preserve">(бр. 2, 3. и 4.) </w:t>
      </w:r>
      <w:r w:rsidR="005A104F">
        <w:t>–</w:t>
      </w:r>
      <w:r w:rsidR="00835E37">
        <w:t xml:space="preserve"> </w:t>
      </w:r>
      <w:r w:rsidR="005A104F">
        <w:t>и спада у делокруг послова стечајног управника</w:t>
      </w:r>
      <w:r w:rsidR="00263FB2">
        <w:t xml:space="preserve"> и његову нарочиту</w:t>
      </w:r>
      <w:r w:rsidR="009B0F51">
        <w:t xml:space="preserve"> дужност </w:t>
      </w:r>
      <w:r w:rsidR="009B0F51" w:rsidRPr="009B0F51">
        <w:t>(члан 27. став 1. тачка 4)</w:t>
      </w:r>
      <w:r w:rsidR="005A104F">
        <w:t>.</w:t>
      </w:r>
      <w:r w:rsidR="005A104F" w:rsidRPr="00E1365D">
        <w:t xml:space="preserve"> </w:t>
      </w:r>
    </w:p>
    <w:p w14:paraId="1ADF5E3C" w14:textId="7F1DB06B" w:rsidR="009B0F51" w:rsidRDefault="00D557F4" w:rsidP="001638CF">
      <w:pPr>
        <w:ind w:firstLine="720"/>
        <w:jc w:val="both"/>
      </w:pPr>
      <w:r>
        <w:rPr>
          <w:noProof/>
          <w:lang w:val="en-US"/>
        </w:rPr>
        <w:lastRenderedPageBreak/>
        <w:drawing>
          <wp:anchor distT="0" distB="0" distL="114300" distR="114300" simplePos="0" relativeHeight="251707392" behindDoc="1" locked="0" layoutInCell="1" allowOverlap="1" wp14:anchorId="61BB65DE" wp14:editId="7C15A487">
            <wp:simplePos x="0" y="0"/>
            <wp:positionH relativeFrom="margin">
              <wp:align>right</wp:align>
            </wp:positionH>
            <wp:positionV relativeFrom="paragraph">
              <wp:posOffset>0</wp:posOffset>
            </wp:positionV>
            <wp:extent cx="5972175" cy="3209925"/>
            <wp:effectExtent l="0" t="0" r="9525" b="0"/>
            <wp:wrapTight wrapText="bothSides">
              <wp:wrapPolygon edited="0">
                <wp:start x="3445" y="2820"/>
                <wp:lineTo x="2894" y="3205"/>
                <wp:lineTo x="1171" y="4743"/>
                <wp:lineTo x="344" y="7179"/>
                <wp:lineTo x="69" y="8461"/>
                <wp:lineTo x="0" y="8973"/>
                <wp:lineTo x="0" y="12178"/>
                <wp:lineTo x="69" y="13332"/>
                <wp:lineTo x="620" y="15383"/>
                <wp:lineTo x="1791" y="17434"/>
                <wp:lineTo x="1860" y="17690"/>
                <wp:lineTo x="3032" y="18459"/>
                <wp:lineTo x="3307" y="18716"/>
                <wp:lineTo x="18327" y="18716"/>
                <wp:lineTo x="18465" y="18459"/>
                <wp:lineTo x="19774" y="17562"/>
                <wp:lineTo x="21014" y="15383"/>
                <wp:lineTo x="21497" y="13332"/>
                <wp:lineTo x="21566" y="12306"/>
                <wp:lineTo x="21566" y="8845"/>
                <wp:lineTo x="21290" y="7179"/>
                <wp:lineTo x="20532" y="5256"/>
                <wp:lineTo x="20463" y="4743"/>
                <wp:lineTo x="18741" y="3205"/>
                <wp:lineTo x="18189" y="2820"/>
                <wp:lineTo x="3445" y="2820"/>
              </wp:wrapPolygon>
            </wp:wrapTight>
            <wp:docPr id="20" name="Diagram 2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14:sizeRelH relativeFrom="margin">
              <wp14:pctWidth>0</wp14:pctWidth>
            </wp14:sizeRelH>
            <wp14:sizeRelV relativeFrom="margin">
              <wp14:pctHeight>0</wp14:pctHeight>
            </wp14:sizeRelV>
          </wp:anchor>
        </w:drawing>
      </w:r>
      <w:r w:rsidR="001638CF">
        <w:rPr>
          <w:b/>
        </w:rPr>
        <w:t>Национални ста</w:t>
      </w:r>
      <w:r w:rsidR="009B0F51" w:rsidRPr="00D87D54">
        <w:rPr>
          <w:b/>
        </w:rPr>
        <w:t>ндард</w:t>
      </w:r>
      <w:r w:rsidR="009B0F51">
        <w:t xml:space="preserve"> </w:t>
      </w:r>
      <w:r w:rsidR="009B0F51" w:rsidRPr="00263FB2">
        <w:rPr>
          <w:b/>
        </w:rPr>
        <w:t>о састављању извештаја стечајног управника o eкономско финансијском положају стечајног дужника</w:t>
      </w:r>
      <w:r w:rsidR="009B0F51">
        <w:t xml:space="preserve"> - </w:t>
      </w:r>
      <w:r w:rsidR="009B0F51" w:rsidRPr="00D87D54">
        <w:rPr>
          <w:b/>
        </w:rPr>
        <w:t>број 3</w:t>
      </w:r>
      <w:r w:rsidR="009B0F51">
        <w:t xml:space="preserve"> </w:t>
      </w:r>
      <w:r w:rsidR="00DC6649">
        <w:t xml:space="preserve">прописује </w:t>
      </w:r>
      <w:r w:rsidR="009B0F51">
        <w:t>обавезан</w:t>
      </w:r>
      <w:r w:rsidR="00DC6649">
        <w:t xml:space="preserve"> </w:t>
      </w:r>
      <w:r w:rsidR="009B0F51">
        <w:t>садржај извештаја</w:t>
      </w:r>
      <w:r w:rsidR="00DC6649">
        <w:t>, као и следеће:</w:t>
      </w:r>
    </w:p>
    <w:p w14:paraId="07E52934" w14:textId="6DF3CE4C" w:rsidR="004C6826" w:rsidRDefault="004C6826" w:rsidP="009B0F51">
      <w:r w:rsidRPr="004C6826">
        <w:rPr>
          <w:noProof/>
          <w:lang w:val="en-US"/>
        </w:rPr>
        <w:t xml:space="preserve"> </w:t>
      </w:r>
      <w:r w:rsidR="009B0F51">
        <w:t xml:space="preserve"> </w:t>
      </w:r>
    </w:p>
    <w:p w14:paraId="23461961" w14:textId="77777777" w:rsidR="00D557F4" w:rsidRDefault="00D557F4" w:rsidP="00D557F4"/>
    <w:p w14:paraId="72A5C03A" w14:textId="0B41DF90" w:rsidR="00F24BA8" w:rsidRDefault="0093289C" w:rsidP="00D557F4">
      <w:pPr>
        <w:ind w:firstLine="720"/>
      </w:pPr>
      <w:r>
        <w:t>Најзначајније одреднице у вези са роковима и начином достављања ЕФИ-ја су:</w:t>
      </w:r>
    </w:p>
    <w:tbl>
      <w:tblPr>
        <w:tblStyle w:val="ListTable2-Accent2"/>
        <w:tblW w:w="5000" w:type="pct"/>
        <w:tblLook w:val="04A0" w:firstRow="1" w:lastRow="0" w:firstColumn="1" w:lastColumn="0" w:noHBand="0" w:noVBand="1"/>
      </w:tblPr>
      <w:tblGrid>
        <w:gridCol w:w="2248"/>
        <w:gridCol w:w="2161"/>
        <w:gridCol w:w="2794"/>
        <w:gridCol w:w="2203"/>
      </w:tblGrid>
      <w:tr w:rsidR="0064336F" w:rsidRPr="00863519" w14:paraId="319FF6D6" w14:textId="77777777" w:rsidTr="00FE744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5BCC6FD9" w14:textId="77777777" w:rsidR="0064336F" w:rsidRPr="00863519" w:rsidRDefault="0064336F" w:rsidP="00FE7442">
            <w:pPr>
              <w:rPr>
                <w:sz w:val="21"/>
                <w:szCs w:val="21"/>
              </w:rPr>
            </w:pPr>
            <w:r w:rsidRPr="00863519">
              <w:rPr>
                <w:sz w:val="21"/>
                <w:szCs w:val="21"/>
              </w:rPr>
              <w:t>Закон</w:t>
            </w:r>
          </w:p>
        </w:tc>
        <w:tc>
          <w:tcPr>
            <w:tcW w:w="1149" w:type="pct"/>
            <w:vAlign w:val="center"/>
          </w:tcPr>
          <w:p w14:paraId="4CEBBE8F" w14:textId="77777777" w:rsidR="0064336F" w:rsidRPr="00863519" w:rsidRDefault="0064336F" w:rsidP="00FE7442">
            <w:pPr>
              <w:jc w:val="center"/>
              <w:cnfStyle w:val="100000000000" w:firstRow="1" w:lastRow="0" w:firstColumn="0" w:lastColumn="0" w:oddVBand="0" w:evenVBand="0" w:oddHBand="0" w:evenHBand="0" w:firstRowFirstColumn="0" w:firstRowLastColumn="0" w:lastRowFirstColumn="0" w:lastRowLastColumn="0"/>
              <w:rPr>
                <w:sz w:val="21"/>
                <w:szCs w:val="21"/>
              </w:rPr>
            </w:pPr>
            <w:r w:rsidRPr="00863519">
              <w:rPr>
                <w:sz w:val="21"/>
                <w:szCs w:val="21"/>
              </w:rPr>
              <w:t>Рок за заказивање ППР</w:t>
            </w:r>
            <w:r w:rsidR="0093289C" w:rsidRPr="00863519">
              <w:rPr>
                <w:rStyle w:val="FootnoteReference"/>
                <w:sz w:val="21"/>
                <w:szCs w:val="21"/>
              </w:rPr>
              <w:footnoteReference w:id="1"/>
            </w:r>
          </w:p>
        </w:tc>
        <w:tc>
          <w:tcPr>
            <w:tcW w:w="1485" w:type="pct"/>
            <w:vAlign w:val="center"/>
          </w:tcPr>
          <w:p w14:paraId="0AFA4EEA" w14:textId="5F703184" w:rsidR="0064336F" w:rsidRPr="00863519" w:rsidRDefault="00D557F4" w:rsidP="00FE7442">
            <w:pPr>
              <w:jc w:val="center"/>
              <w:cnfStyle w:val="100000000000" w:firstRow="1" w:lastRow="0" w:firstColumn="0" w:lastColumn="0" w:oddVBand="0" w:evenVBand="0" w:oddHBand="0" w:evenHBand="0" w:firstRowFirstColumn="0" w:firstRowLastColumn="0" w:lastRowFirstColumn="0" w:lastRowLastColumn="0"/>
              <w:rPr>
                <w:sz w:val="21"/>
                <w:szCs w:val="21"/>
              </w:rPr>
            </w:pPr>
            <w:r w:rsidRPr="00863519">
              <w:rPr>
                <w:sz w:val="21"/>
                <w:szCs w:val="21"/>
              </w:rPr>
              <w:t>Рок за достављање ЕФИ-ја</w:t>
            </w:r>
            <w:r w:rsidRPr="00863519">
              <w:rPr>
                <w:rStyle w:val="FootnoteReference"/>
                <w:sz w:val="21"/>
                <w:szCs w:val="21"/>
              </w:rPr>
              <w:footnoteReference w:id="2"/>
            </w:r>
          </w:p>
        </w:tc>
        <w:tc>
          <w:tcPr>
            <w:tcW w:w="1171" w:type="pct"/>
            <w:vAlign w:val="center"/>
          </w:tcPr>
          <w:p w14:paraId="3FB22E1D" w14:textId="2EBDA68D" w:rsidR="0064336F" w:rsidRPr="00863519" w:rsidRDefault="0064336F" w:rsidP="00FE7442">
            <w:pPr>
              <w:jc w:val="center"/>
              <w:cnfStyle w:val="100000000000" w:firstRow="1" w:lastRow="0" w:firstColumn="0" w:lastColumn="0" w:oddVBand="0" w:evenVBand="0" w:oddHBand="0" w:evenHBand="0" w:firstRowFirstColumn="0" w:firstRowLastColumn="0" w:lastRowFirstColumn="0" w:lastRowLastColumn="0"/>
              <w:rPr>
                <w:sz w:val="21"/>
                <w:szCs w:val="21"/>
              </w:rPr>
            </w:pPr>
            <w:r w:rsidRPr="00863519">
              <w:rPr>
                <w:sz w:val="21"/>
                <w:szCs w:val="21"/>
              </w:rPr>
              <w:t>Продужење рока за достављање ЕФИ-ја</w:t>
            </w:r>
          </w:p>
        </w:tc>
      </w:tr>
      <w:tr w:rsidR="00D557F4" w:rsidRPr="00863519" w14:paraId="0803D341" w14:textId="77777777" w:rsidTr="00FE744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195" w:type="pct"/>
            <w:vAlign w:val="center"/>
          </w:tcPr>
          <w:p w14:paraId="60CD4396" w14:textId="4B6FEC83" w:rsidR="00D557F4" w:rsidRPr="00863519" w:rsidRDefault="00D557F4" w:rsidP="00FE7442">
            <w:pPr>
              <w:rPr>
                <w:sz w:val="21"/>
                <w:szCs w:val="21"/>
              </w:rPr>
            </w:pPr>
            <w:r w:rsidRPr="00863519">
              <w:rPr>
                <w:sz w:val="21"/>
                <w:szCs w:val="21"/>
              </w:rPr>
              <w:t>Закон о стечају</w:t>
            </w:r>
          </w:p>
        </w:tc>
        <w:tc>
          <w:tcPr>
            <w:tcW w:w="1149" w:type="pct"/>
            <w:vAlign w:val="center"/>
          </w:tcPr>
          <w:p w14:paraId="3DA6B526" w14:textId="3642DFEA" w:rsidR="00D557F4" w:rsidRPr="00863519" w:rsidRDefault="00D557F4" w:rsidP="00FE7442">
            <w:pPr>
              <w:cnfStyle w:val="000000100000" w:firstRow="0" w:lastRow="0" w:firstColumn="0" w:lastColumn="0" w:oddVBand="0" w:evenVBand="0" w:oddHBand="1" w:evenHBand="0" w:firstRowFirstColumn="0" w:firstRowLastColumn="0" w:lastRowFirstColumn="0" w:lastRowLastColumn="0"/>
              <w:rPr>
                <w:sz w:val="21"/>
                <w:szCs w:val="21"/>
              </w:rPr>
            </w:pPr>
            <w:r w:rsidRPr="00863519">
              <w:rPr>
                <w:sz w:val="21"/>
                <w:szCs w:val="21"/>
              </w:rPr>
              <w:t>40 дана од дана отварања СП (чл. 36. ст. 3.)</w:t>
            </w:r>
          </w:p>
        </w:tc>
        <w:tc>
          <w:tcPr>
            <w:tcW w:w="1485" w:type="pct"/>
            <w:vAlign w:val="center"/>
          </w:tcPr>
          <w:p w14:paraId="3E94D3EC" w14:textId="77777777" w:rsidR="00D557F4" w:rsidRPr="00863519" w:rsidRDefault="00D557F4" w:rsidP="00FE7442">
            <w:pPr>
              <w:cnfStyle w:val="000000100000" w:firstRow="0" w:lastRow="0" w:firstColumn="0" w:lastColumn="0" w:oddVBand="0" w:evenVBand="0" w:oddHBand="1" w:evenHBand="0" w:firstRowFirstColumn="0" w:firstRowLastColumn="0" w:lastRowFirstColumn="0" w:lastRowLastColumn="0"/>
              <w:rPr>
                <w:sz w:val="21"/>
                <w:szCs w:val="21"/>
              </w:rPr>
            </w:pPr>
            <w:r w:rsidRPr="00863519">
              <w:rPr>
                <w:b/>
                <w:sz w:val="21"/>
                <w:szCs w:val="21"/>
              </w:rPr>
              <w:t>Суду и ОП</w:t>
            </w:r>
            <w:r w:rsidRPr="00863519">
              <w:rPr>
                <w:sz w:val="21"/>
                <w:szCs w:val="21"/>
              </w:rPr>
              <w:t xml:space="preserve"> - </w:t>
            </w:r>
            <w:r w:rsidRPr="00863519">
              <w:rPr>
                <w:color w:val="FF0000"/>
                <w:sz w:val="21"/>
                <w:szCs w:val="21"/>
              </w:rPr>
              <w:t xml:space="preserve">5 дана </w:t>
            </w:r>
            <w:r w:rsidRPr="00863519">
              <w:rPr>
                <w:sz w:val="21"/>
                <w:szCs w:val="21"/>
              </w:rPr>
              <w:t>пре дана одржавања ППР (чл. 36. ст. 3.)</w:t>
            </w:r>
          </w:p>
          <w:p w14:paraId="6E92DC40" w14:textId="77777777" w:rsidR="00D557F4" w:rsidRPr="00863519" w:rsidRDefault="00D557F4" w:rsidP="00FE7442">
            <w:pPr>
              <w:cnfStyle w:val="000000100000" w:firstRow="0" w:lastRow="0" w:firstColumn="0" w:lastColumn="0" w:oddVBand="0" w:evenVBand="0" w:oddHBand="1" w:evenHBand="0" w:firstRowFirstColumn="0" w:firstRowLastColumn="0" w:lastRowFirstColumn="0" w:lastRowLastColumn="0"/>
              <w:rPr>
                <w:sz w:val="21"/>
                <w:szCs w:val="21"/>
              </w:rPr>
            </w:pPr>
          </w:p>
          <w:p w14:paraId="75C3976E" w14:textId="13186316" w:rsidR="00D557F4" w:rsidRPr="00863519" w:rsidRDefault="00D557F4" w:rsidP="00FE7442">
            <w:pPr>
              <w:cnfStyle w:val="000000100000" w:firstRow="0" w:lastRow="0" w:firstColumn="0" w:lastColumn="0" w:oddVBand="0" w:evenVBand="0" w:oddHBand="1" w:evenHBand="0" w:firstRowFirstColumn="0" w:firstRowLastColumn="0" w:lastRowFirstColumn="0" w:lastRowLastColumn="0"/>
              <w:rPr>
                <w:sz w:val="21"/>
                <w:szCs w:val="21"/>
              </w:rPr>
            </w:pPr>
            <w:r w:rsidRPr="00863519">
              <w:rPr>
                <w:b/>
                <w:sz w:val="21"/>
                <w:szCs w:val="21"/>
              </w:rPr>
              <w:t>Агенцији</w:t>
            </w:r>
            <w:r w:rsidRPr="00863519">
              <w:rPr>
                <w:sz w:val="21"/>
                <w:szCs w:val="21"/>
              </w:rPr>
              <w:t xml:space="preserve"> – путем ЕРС-а најкасније </w:t>
            </w:r>
            <w:r w:rsidRPr="00863519">
              <w:rPr>
                <w:color w:val="FF0000"/>
                <w:sz w:val="21"/>
                <w:szCs w:val="21"/>
              </w:rPr>
              <w:t xml:space="preserve">5 дана </w:t>
            </w:r>
            <w:r w:rsidRPr="00863519">
              <w:rPr>
                <w:sz w:val="21"/>
                <w:szCs w:val="21"/>
              </w:rPr>
              <w:t>пре дана одржавања ППР (НС 4)</w:t>
            </w:r>
          </w:p>
        </w:tc>
        <w:tc>
          <w:tcPr>
            <w:tcW w:w="1171" w:type="pct"/>
            <w:vAlign w:val="center"/>
          </w:tcPr>
          <w:p w14:paraId="2DDC960F" w14:textId="7A044BC4" w:rsidR="00D557F4" w:rsidRPr="00863519" w:rsidRDefault="00D557F4" w:rsidP="00FE7442">
            <w:pPr>
              <w:cnfStyle w:val="000000100000" w:firstRow="0" w:lastRow="0" w:firstColumn="0" w:lastColumn="0" w:oddVBand="0" w:evenVBand="0" w:oddHBand="1" w:evenHBand="0" w:firstRowFirstColumn="0" w:firstRowLastColumn="0" w:lastRowFirstColumn="0" w:lastRowLastColumn="0"/>
              <w:rPr>
                <w:sz w:val="21"/>
                <w:szCs w:val="21"/>
              </w:rPr>
            </w:pPr>
            <w:r w:rsidRPr="00863519">
              <w:rPr>
                <w:sz w:val="21"/>
                <w:szCs w:val="21"/>
              </w:rPr>
              <w:t xml:space="preserve">На предлог СУ, највише за </w:t>
            </w:r>
            <w:r w:rsidRPr="00863519">
              <w:rPr>
                <w:color w:val="FF0000"/>
                <w:sz w:val="21"/>
                <w:szCs w:val="21"/>
              </w:rPr>
              <w:t>5 дана</w:t>
            </w:r>
          </w:p>
          <w:p w14:paraId="571627DB" w14:textId="02757F2A" w:rsidR="00D557F4" w:rsidRPr="00863519" w:rsidRDefault="00D557F4" w:rsidP="00FE7442">
            <w:pPr>
              <w:cnfStyle w:val="000000100000" w:firstRow="0" w:lastRow="0" w:firstColumn="0" w:lastColumn="0" w:oddVBand="0" w:evenVBand="0" w:oddHBand="1" w:evenHBand="0" w:firstRowFirstColumn="0" w:firstRowLastColumn="0" w:lastRowFirstColumn="0" w:lastRowLastColumn="0"/>
              <w:rPr>
                <w:sz w:val="21"/>
                <w:szCs w:val="21"/>
              </w:rPr>
            </w:pPr>
            <w:r w:rsidRPr="00863519">
              <w:rPr>
                <w:sz w:val="21"/>
                <w:szCs w:val="21"/>
              </w:rPr>
              <w:t>(чл. 109. ст. 2.)</w:t>
            </w:r>
          </w:p>
        </w:tc>
      </w:tr>
      <w:tr w:rsidR="00D557F4" w:rsidRPr="00863519" w14:paraId="287E5B72" w14:textId="77777777" w:rsidTr="00FE7442">
        <w:tc>
          <w:tcPr>
            <w:cnfStyle w:val="001000000000" w:firstRow="0" w:lastRow="0" w:firstColumn="1" w:lastColumn="0" w:oddVBand="0" w:evenVBand="0" w:oddHBand="0" w:evenHBand="0" w:firstRowFirstColumn="0" w:firstRowLastColumn="0" w:lastRowFirstColumn="0" w:lastRowLastColumn="0"/>
            <w:tcW w:w="1195" w:type="pct"/>
            <w:vAlign w:val="center"/>
          </w:tcPr>
          <w:p w14:paraId="491438D5" w14:textId="7F5F8072" w:rsidR="00D557F4" w:rsidRPr="00863519" w:rsidRDefault="00D557F4" w:rsidP="00FE7442">
            <w:pPr>
              <w:rPr>
                <w:sz w:val="21"/>
                <w:szCs w:val="21"/>
              </w:rPr>
            </w:pPr>
            <w:r w:rsidRPr="00863519">
              <w:rPr>
                <w:sz w:val="21"/>
                <w:szCs w:val="21"/>
              </w:rPr>
              <w:t>Закон о стечајном поступку</w:t>
            </w:r>
          </w:p>
        </w:tc>
        <w:tc>
          <w:tcPr>
            <w:tcW w:w="1149" w:type="pct"/>
            <w:vAlign w:val="center"/>
          </w:tcPr>
          <w:p w14:paraId="27D5167A" w14:textId="0DCF8AD5" w:rsidR="00D557F4" w:rsidRPr="00863519" w:rsidRDefault="00D557F4" w:rsidP="00FE7442">
            <w:pPr>
              <w:cnfStyle w:val="000000000000" w:firstRow="0" w:lastRow="0" w:firstColumn="0" w:lastColumn="0" w:oddVBand="0" w:evenVBand="0" w:oddHBand="0" w:evenHBand="0" w:firstRowFirstColumn="0" w:firstRowLastColumn="0" w:lastRowFirstColumn="0" w:lastRowLastColumn="0"/>
              <w:rPr>
                <w:sz w:val="21"/>
                <w:szCs w:val="21"/>
              </w:rPr>
            </w:pPr>
            <w:r w:rsidRPr="00863519">
              <w:rPr>
                <w:sz w:val="21"/>
                <w:szCs w:val="21"/>
              </w:rPr>
              <w:t>40 дана од дана покретања СП (чл. 23. ст. 1.)</w:t>
            </w:r>
          </w:p>
        </w:tc>
        <w:tc>
          <w:tcPr>
            <w:tcW w:w="1485" w:type="pct"/>
            <w:vAlign w:val="center"/>
          </w:tcPr>
          <w:p w14:paraId="6E0DB2C4" w14:textId="77777777" w:rsidR="00D557F4" w:rsidRPr="00863519" w:rsidRDefault="00D557F4" w:rsidP="00FE7442">
            <w:pPr>
              <w:cnfStyle w:val="000000000000" w:firstRow="0" w:lastRow="0" w:firstColumn="0" w:lastColumn="0" w:oddVBand="0" w:evenVBand="0" w:oddHBand="0" w:evenHBand="0" w:firstRowFirstColumn="0" w:firstRowLastColumn="0" w:lastRowFirstColumn="0" w:lastRowLastColumn="0"/>
              <w:rPr>
                <w:sz w:val="21"/>
                <w:szCs w:val="21"/>
              </w:rPr>
            </w:pPr>
            <w:r w:rsidRPr="00863519">
              <w:rPr>
                <w:b/>
                <w:sz w:val="21"/>
                <w:szCs w:val="21"/>
              </w:rPr>
              <w:t>Суду и ОП</w:t>
            </w:r>
            <w:r w:rsidRPr="00863519">
              <w:rPr>
                <w:sz w:val="21"/>
                <w:szCs w:val="21"/>
              </w:rPr>
              <w:t xml:space="preserve"> - 5 дана пре дана одржавања ППР (чл. 88. ст. 3.)</w:t>
            </w:r>
          </w:p>
          <w:p w14:paraId="1E8FFB8C" w14:textId="77777777" w:rsidR="00D557F4" w:rsidRPr="00863519" w:rsidRDefault="00D557F4" w:rsidP="00FE7442">
            <w:pPr>
              <w:cnfStyle w:val="000000000000" w:firstRow="0" w:lastRow="0" w:firstColumn="0" w:lastColumn="0" w:oddVBand="0" w:evenVBand="0" w:oddHBand="0" w:evenHBand="0" w:firstRowFirstColumn="0" w:firstRowLastColumn="0" w:lastRowFirstColumn="0" w:lastRowLastColumn="0"/>
              <w:rPr>
                <w:sz w:val="21"/>
                <w:szCs w:val="21"/>
              </w:rPr>
            </w:pPr>
          </w:p>
          <w:p w14:paraId="34CC0AA8" w14:textId="709C2D32" w:rsidR="00D557F4" w:rsidRPr="00863519" w:rsidRDefault="00D557F4" w:rsidP="00FE7442">
            <w:pPr>
              <w:cnfStyle w:val="000000000000" w:firstRow="0" w:lastRow="0" w:firstColumn="0" w:lastColumn="0" w:oddVBand="0" w:evenVBand="0" w:oddHBand="0" w:evenHBand="0" w:firstRowFirstColumn="0" w:firstRowLastColumn="0" w:lastRowFirstColumn="0" w:lastRowLastColumn="0"/>
              <w:rPr>
                <w:sz w:val="21"/>
                <w:szCs w:val="21"/>
              </w:rPr>
            </w:pPr>
            <w:r w:rsidRPr="00863519">
              <w:rPr>
                <w:b/>
                <w:sz w:val="21"/>
                <w:szCs w:val="21"/>
              </w:rPr>
              <w:t>Агенцији</w:t>
            </w:r>
            <w:r w:rsidRPr="00863519">
              <w:rPr>
                <w:sz w:val="21"/>
                <w:szCs w:val="21"/>
              </w:rPr>
              <w:t xml:space="preserve"> - у року од 10 дана од дана израде (НС 4)</w:t>
            </w:r>
          </w:p>
        </w:tc>
        <w:tc>
          <w:tcPr>
            <w:tcW w:w="1171" w:type="pct"/>
            <w:vAlign w:val="center"/>
          </w:tcPr>
          <w:p w14:paraId="0798F181" w14:textId="117E6081" w:rsidR="00D557F4" w:rsidRPr="00863519" w:rsidRDefault="00D557F4" w:rsidP="00FE7442">
            <w:pPr>
              <w:cnfStyle w:val="000000000000" w:firstRow="0" w:lastRow="0" w:firstColumn="0" w:lastColumn="0" w:oddVBand="0" w:evenVBand="0" w:oddHBand="0" w:evenHBand="0" w:firstRowFirstColumn="0" w:firstRowLastColumn="0" w:lastRowFirstColumn="0" w:lastRowLastColumn="0"/>
              <w:rPr>
                <w:sz w:val="21"/>
                <w:szCs w:val="21"/>
              </w:rPr>
            </w:pPr>
            <w:r w:rsidRPr="00863519">
              <w:rPr>
                <w:sz w:val="21"/>
                <w:szCs w:val="21"/>
              </w:rPr>
              <w:t xml:space="preserve">На предлог СУ, највише за </w:t>
            </w:r>
            <w:r w:rsidRPr="00863519">
              <w:rPr>
                <w:color w:val="FF0000"/>
                <w:sz w:val="21"/>
                <w:szCs w:val="21"/>
              </w:rPr>
              <w:t>10 дана</w:t>
            </w:r>
          </w:p>
          <w:p w14:paraId="12C19BB0" w14:textId="117588E7" w:rsidR="00D557F4" w:rsidRPr="00863519" w:rsidRDefault="00D557F4" w:rsidP="00FE7442">
            <w:pPr>
              <w:cnfStyle w:val="000000000000" w:firstRow="0" w:lastRow="0" w:firstColumn="0" w:lastColumn="0" w:oddVBand="0" w:evenVBand="0" w:oddHBand="0" w:evenHBand="0" w:firstRowFirstColumn="0" w:firstRowLastColumn="0" w:lastRowFirstColumn="0" w:lastRowLastColumn="0"/>
              <w:rPr>
                <w:sz w:val="21"/>
                <w:szCs w:val="21"/>
              </w:rPr>
            </w:pPr>
            <w:r w:rsidRPr="00863519">
              <w:rPr>
                <w:sz w:val="21"/>
                <w:szCs w:val="21"/>
              </w:rPr>
              <w:t>(чл. 88. ст. 2.)</w:t>
            </w:r>
          </w:p>
        </w:tc>
      </w:tr>
    </w:tbl>
    <w:p w14:paraId="419979AA" w14:textId="77777777" w:rsidR="00D557F4" w:rsidRDefault="00D557F4"/>
    <w:p w14:paraId="63181461" w14:textId="77777777" w:rsidR="005916D0" w:rsidRDefault="00C03903" w:rsidP="00FE7442">
      <w:pPr>
        <w:jc w:val="both"/>
      </w:pPr>
      <w:r>
        <w:tab/>
        <w:t xml:space="preserve">ЕФИ се сачињава у </w:t>
      </w:r>
      <w:r w:rsidRPr="00C03903">
        <w:t>Систему за аутоматско вођење стечаја (у даљем тексту: ЕРС)</w:t>
      </w:r>
      <w:r>
        <w:t xml:space="preserve"> у обрасцу који садржи све податке прописане Националним стандардом 3</w:t>
      </w:r>
      <w:r w:rsidR="005916D0">
        <w:t xml:space="preserve">. </w:t>
      </w:r>
    </w:p>
    <w:p w14:paraId="6B007EE9" w14:textId="2A811B8C" w:rsidR="00C03903" w:rsidRDefault="005916D0" w:rsidP="005916D0">
      <w:pPr>
        <w:ind w:firstLine="720"/>
        <w:jc w:val="both"/>
      </w:pPr>
      <w:r>
        <w:t>Стечајним управни</w:t>
      </w:r>
      <w:r w:rsidR="00C03903">
        <w:t>цима је</w:t>
      </w:r>
      <w:r w:rsidR="00304D3A">
        <w:t>, поред претходно завршене обуке,</w:t>
      </w:r>
      <w:r w:rsidR="00C03903">
        <w:t xml:space="preserve"> за рад у ЕРС-у на располагању Приручник </w:t>
      </w:r>
      <w:r w:rsidR="00C03903" w:rsidRPr="00C03903">
        <w:t xml:space="preserve">за коришћење ЕРС-а, </w:t>
      </w:r>
      <w:r w:rsidR="00C03903">
        <w:t>ЕРС подршка Агенције (</w:t>
      </w:r>
      <w:hyperlink r:id="rId13" w:history="1">
        <w:r w:rsidR="00C03903">
          <w:rPr>
            <w:rStyle w:val="Hyperlink"/>
          </w:rPr>
          <w:t>podrskaERS@alsu.gov.rs</w:t>
        </w:r>
      </w:hyperlink>
      <w:r w:rsidR="00C03903">
        <w:t>),</w:t>
      </w:r>
      <w:r w:rsidR="00C03903" w:rsidRPr="00C03903">
        <w:t xml:space="preserve"> </w:t>
      </w:r>
      <w:r w:rsidR="00C03903">
        <w:t>као и одговори</w:t>
      </w:r>
      <w:r w:rsidR="00C03903" w:rsidRPr="00C03903">
        <w:t xml:space="preserve"> на најчешћа питања која се налазе на порталу Агенције</w:t>
      </w:r>
      <w:r w:rsidR="00C03903">
        <w:t xml:space="preserve"> (</w:t>
      </w:r>
      <w:hyperlink r:id="rId14" w:history="1">
        <w:r w:rsidR="00C03903" w:rsidRPr="00383E59">
          <w:rPr>
            <w:rStyle w:val="Hyperlink"/>
            <w:lang w:val="en-US"/>
          </w:rPr>
          <w:t>www.alsu.gov.rs</w:t>
        </w:r>
      </w:hyperlink>
      <w:r w:rsidR="00C03903">
        <w:t>).</w:t>
      </w:r>
    </w:p>
    <w:p w14:paraId="2B4B9E8E" w14:textId="2C25A6EF" w:rsidR="00863519" w:rsidRDefault="00863519" w:rsidP="005916D0">
      <w:pPr>
        <w:ind w:firstLine="720"/>
        <w:jc w:val="both"/>
        <w:rPr>
          <w:b/>
          <w:u w:val="single"/>
        </w:rPr>
      </w:pPr>
    </w:p>
    <w:p w14:paraId="4D1408CD" w14:textId="4A3F8725" w:rsidR="005916D0" w:rsidRPr="00D252C1" w:rsidRDefault="008A6F99" w:rsidP="008A6F99">
      <w:pPr>
        <w:ind w:firstLine="720"/>
        <w:jc w:val="center"/>
        <w:rPr>
          <w:b/>
          <w:sz w:val="25"/>
          <w:szCs w:val="25"/>
          <w:u w:val="single"/>
        </w:rPr>
      </w:pPr>
      <w:r w:rsidRPr="00D252C1">
        <w:rPr>
          <w:b/>
          <w:color w:val="FFC000"/>
          <w:sz w:val="25"/>
          <w:szCs w:val="25"/>
        </w:rPr>
        <w:lastRenderedPageBreak/>
        <w:t>СТРУЧНИ НАДЗОР НАД РАДОМ СТЕЧАЈНИХ УПРАВНИКА  - ЕФИ</w:t>
      </w:r>
    </w:p>
    <w:p w14:paraId="6FC9FC80" w14:textId="390BE2BA" w:rsidR="00834107" w:rsidRDefault="00BE6958" w:rsidP="00547896">
      <w:pPr>
        <w:ind w:firstLine="720"/>
        <w:jc w:val="both"/>
      </w:pPr>
      <w:r w:rsidRPr="00863519">
        <w:rPr>
          <w:noProof/>
          <w:lang w:val="en-US"/>
        </w:rPr>
        <w:drawing>
          <wp:anchor distT="0" distB="0" distL="114300" distR="114300" simplePos="0" relativeHeight="251708416" behindDoc="1" locked="0" layoutInCell="1" allowOverlap="1" wp14:anchorId="1D2B61EB" wp14:editId="2109F81A">
            <wp:simplePos x="0" y="0"/>
            <wp:positionH relativeFrom="margin">
              <wp:align>right</wp:align>
            </wp:positionH>
            <wp:positionV relativeFrom="paragraph">
              <wp:posOffset>509905</wp:posOffset>
            </wp:positionV>
            <wp:extent cx="1200150" cy="1561465"/>
            <wp:effectExtent l="0" t="0" r="0" b="635"/>
            <wp:wrapTight wrapText="bothSides">
              <wp:wrapPolygon edited="0">
                <wp:start x="0" y="0"/>
                <wp:lineTo x="0" y="21345"/>
                <wp:lineTo x="21257" y="21345"/>
                <wp:lineTo x="21257" y="0"/>
                <wp:lineTo x="0" y="0"/>
              </wp:wrapPolygon>
            </wp:wrapTight>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5">
                      <a:extLst>
                        <a:ext uri="{28A0092B-C50C-407E-A947-70E740481C1C}">
                          <a14:useLocalDpi xmlns:a14="http://schemas.microsoft.com/office/drawing/2010/main" val="0"/>
                        </a:ext>
                      </a:extLst>
                    </a:blip>
                    <a:srcRect l="6452" r="30645"/>
                    <a:stretch/>
                  </pic:blipFill>
                  <pic:spPr bwMode="auto">
                    <a:xfrm>
                      <a:off x="0" y="0"/>
                      <a:ext cx="1200150" cy="1561465"/>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5916D0">
        <w:t>Супервизори Агенције</w:t>
      </w:r>
      <w:r w:rsidR="005916D0">
        <w:tab/>
        <w:t>обављају стручни надзор над радом стечајних управника и у вези са израдом ЕФИ-ја, који обухвата</w:t>
      </w:r>
      <w:r w:rsidR="00547896">
        <w:t xml:space="preserve"> </w:t>
      </w:r>
      <w:r w:rsidR="00304D3A" w:rsidRPr="00304D3A">
        <w:rPr>
          <w:color w:val="ED7D31" w:themeColor="accent2"/>
        </w:rPr>
        <w:t xml:space="preserve">увид у документацију стечајног управника и стечајног дужника </w:t>
      </w:r>
      <w:r w:rsidR="00834107">
        <w:t>која се односи на активности које претходе сачињавању ЕФИ-ја</w:t>
      </w:r>
      <w:r w:rsidR="00304D3A">
        <w:t>, и то</w:t>
      </w:r>
      <w:r w:rsidR="00834107">
        <w:t>:</w:t>
      </w:r>
    </w:p>
    <w:p w14:paraId="47FFD1E3" w14:textId="071DD780" w:rsidR="00547896" w:rsidRDefault="00547896" w:rsidP="00834107">
      <w:pPr>
        <w:pStyle w:val="ListParagraph"/>
        <w:numPr>
          <w:ilvl w:val="0"/>
          <w:numId w:val="11"/>
        </w:numPr>
        <w:jc w:val="both"/>
      </w:pPr>
      <w:r>
        <w:t>начин и рокови достављања</w:t>
      </w:r>
      <w:r w:rsidR="00304D3A">
        <w:t xml:space="preserve"> ЕФИ-ја;</w:t>
      </w:r>
    </w:p>
    <w:p w14:paraId="0238A67B" w14:textId="39C8A3CF" w:rsidR="00834107" w:rsidRDefault="00304D3A" w:rsidP="00834107">
      <w:pPr>
        <w:pStyle w:val="ListParagraph"/>
        <w:numPr>
          <w:ilvl w:val="0"/>
          <w:numId w:val="11"/>
        </w:numPr>
        <w:jc w:val="both"/>
      </w:pPr>
      <w:r>
        <w:t>примопредаја дужности;</w:t>
      </w:r>
    </w:p>
    <w:p w14:paraId="37D0F26B" w14:textId="19B7E6A4" w:rsidR="00834107" w:rsidRDefault="00834107" w:rsidP="00834107">
      <w:pPr>
        <w:pStyle w:val="ListParagraph"/>
        <w:numPr>
          <w:ilvl w:val="0"/>
          <w:numId w:val="11"/>
        </w:numPr>
        <w:jc w:val="both"/>
      </w:pPr>
      <w:r>
        <w:t>з</w:t>
      </w:r>
      <w:r w:rsidRPr="00834107">
        <w:t>аштита имовине (обезбеђење, осигурање, банковни рачуни)</w:t>
      </w:r>
      <w:r w:rsidR="00304D3A">
        <w:t>;</w:t>
      </w:r>
    </w:p>
    <w:p w14:paraId="21DB7E20" w14:textId="14E17762" w:rsidR="00834107" w:rsidRPr="00834107" w:rsidRDefault="00C8586E" w:rsidP="00C8586E">
      <w:pPr>
        <w:pStyle w:val="ListParagraph"/>
        <w:numPr>
          <w:ilvl w:val="0"/>
          <w:numId w:val="11"/>
        </w:numPr>
        <w:jc w:val="both"/>
      </w:pPr>
      <w:r w:rsidRPr="00C8586E">
        <w:t>попис имовине</w:t>
      </w:r>
      <w:r w:rsidR="00304D3A">
        <w:t>;</w:t>
      </w:r>
    </w:p>
    <w:p w14:paraId="52D3AF64" w14:textId="2A5C36FF" w:rsidR="00834107" w:rsidRDefault="00304D3A" w:rsidP="00834107">
      <w:pPr>
        <w:pStyle w:val="ListParagraph"/>
        <w:numPr>
          <w:ilvl w:val="0"/>
          <w:numId w:val="11"/>
        </w:numPr>
        <w:jc w:val="both"/>
      </w:pPr>
      <w:r>
        <w:t>процена вредности имовине;</w:t>
      </w:r>
    </w:p>
    <w:p w14:paraId="7C41BF4F" w14:textId="2E2E5413" w:rsidR="00C8586E" w:rsidRDefault="00C8586E" w:rsidP="00834107">
      <w:pPr>
        <w:pStyle w:val="ListParagraph"/>
        <w:numPr>
          <w:ilvl w:val="0"/>
          <w:numId w:val="11"/>
        </w:numPr>
        <w:jc w:val="both"/>
      </w:pPr>
      <w:r>
        <w:t xml:space="preserve">издавање имовине у </w:t>
      </w:r>
      <w:r w:rsidR="00304D3A">
        <w:t>закуп;</w:t>
      </w:r>
    </w:p>
    <w:p w14:paraId="39D18B4B" w14:textId="66708B69" w:rsidR="00547896" w:rsidRDefault="00C8586E" w:rsidP="00834107">
      <w:pPr>
        <w:pStyle w:val="ListParagraph"/>
        <w:numPr>
          <w:ilvl w:val="0"/>
          <w:numId w:val="11"/>
        </w:numPr>
        <w:jc w:val="both"/>
      </w:pPr>
      <w:r>
        <w:t>трошкови стечајног поступка и обавезе стечајне масе</w:t>
      </w:r>
      <w:r w:rsidR="00304D3A">
        <w:t xml:space="preserve"> и исплате са рачуна стечајног дужника;</w:t>
      </w:r>
    </w:p>
    <w:p w14:paraId="2BACF549" w14:textId="6E16290D" w:rsidR="005E29BB" w:rsidRDefault="005E29BB" w:rsidP="00834107">
      <w:pPr>
        <w:pStyle w:val="ListParagraph"/>
        <w:numPr>
          <w:ilvl w:val="0"/>
          <w:numId w:val="11"/>
        </w:numPr>
        <w:jc w:val="both"/>
      </w:pPr>
      <w:r>
        <w:t>сагласности стеча</w:t>
      </w:r>
      <w:r w:rsidR="00304D3A">
        <w:t>јног судије и одбора поверилаца;</w:t>
      </w:r>
    </w:p>
    <w:p w14:paraId="3CB52F03" w14:textId="5ADC16EE" w:rsidR="00C8586E" w:rsidRDefault="00547896" w:rsidP="00547896">
      <w:pPr>
        <w:pStyle w:val="ListParagraph"/>
        <w:numPr>
          <w:ilvl w:val="0"/>
          <w:numId w:val="11"/>
        </w:numPr>
        <w:jc w:val="both"/>
      </w:pPr>
      <w:r>
        <w:t>д</w:t>
      </w:r>
      <w:r>
        <w:rPr>
          <w:noProof/>
          <w:lang w:val="sr-Cyrl-CS"/>
        </w:rPr>
        <w:t>руге активности,</w:t>
      </w:r>
    </w:p>
    <w:p w14:paraId="4C55542F" w14:textId="3152CF2F" w:rsidR="00C8586E" w:rsidRDefault="00C8586E" w:rsidP="00C8586E">
      <w:pPr>
        <w:jc w:val="both"/>
      </w:pPr>
      <w:r>
        <w:t xml:space="preserve">као и </w:t>
      </w:r>
      <w:r w:rsidR="00304D3A" w:rsidRPr="00304D3A">
        <w:rPr>
          <w:color w:val="ED7D31" w:themeColor="accent2"/>
        </w:rPr>
        <w:t>увид</w:t>
      </w:r>
      <w:r w:rsidRPr="00304D3A">
        <w:rPr>
          <w:color w:val="ED7D31" w:themeColor="accent2"/>
        </w:rPr>
        <w:t xml:space="preserve"> у јавно доступне податке </w:t>
      </w:r>
      <w:r>
        <w:t xml:space="preserve">о стечајном дужнику (НБС, СКН, АПР – регистри, ЦРХОВ и др.), </w:t>
      </w:r>
      <w:r w:rsidR="008D1971">
        <w:t xml:space="preserve">на који начин се </w:t>
      </w:r>
      <w:r w:rsidRPr="00304D3A">
        <w:rPr>
          <w:u w:val="single"/>
        </w:rPr>
        <w:t>врши</w:t>
      </w:r>
      <w:r w:rsidR="00304D3A" w:rsidRPr="00304D3A">
        <w:rPr>
          <w:u w:val="single"/>
        </w:rPr>
        <w:t xml:space="preserve"> поређење наведене документације са подацима</w:t>
      </w:r>
      <w:r w:rsidRPr="00304D3A">
        <w:rPr>
          <w:u w:val="single"/>
        </w:rPr>
        <w:t xml:space="preserve"> који су евидентирани у ЕФИ-ју</w:t>
      </w:r>
      <w:r w:rsidR="00AD3B2C" w:rsidRPr="00304D3A">
        <w:rPr>
          <w:u w:val="single"/>
        </w:rPr>
        <w:t xml:space="preserve"> од стране стечајног управника</w:t>
      </w:r>
      <w:r w:rsidR="00304D3A" w:rsidRPr="00304D3A">
        <w:t xml:space="preserve">, </w:t>
      </w:r>
      <w:r w:rsidR="00304D3A">
        <w:t>у циљу утврђивања да ли је стечајни управник</w:t>
      </w:r>
      <w:r w:rsidR="00C66E13">
        <w:t xml:space="preserve"> у том делу</w:t>
      </w:r>
      <w:r w:rsidR="00304D3A">
        <w:t xml:space="preserve"> поступао у складу са законском и подзаконском регулативом</w:t>
      </w:r>
      <w:r>
        <w:t>.</w:t>
      </w:r>
    </w:p>
    <w:p w14:paraId="7C89B8C1" w14:textId="50E2F90B" w:rsidR="00C8586E" w:rsidRDefault="00C8586E" w:rsidP="00C8586E">
      <w:pPr>
        <w:jc w:val="both"/>
      </w:pPr>
      <w:r>
        <w:tab/>
        <w:t>Поред надзора који се спроводи по службеној дужности (надзор увидом и анализом</w:t>
      </w:r>
      <w:r w:rsidR="00C66E13">
        <w:t>, редовни непосредни надзор</w:t>
      </w:r>
      <w:r>
        <w:t xml:space="preserve">), супервизори Агенције спроводе поступке испитивања рада стечајних управника по поднетим притужбама на њихов рад које, поред осталог, често садрже и наводе који се односе на ЕФИ. </w:t>
      </w:r>
    </w:p>
    <w:p w14:paraId="3038459E" w14:textId="2BE95324" w:rsidR="006E3AD9" w:rsidRPr="00F47592" w:rsidRDefault="00AD3B2C" w:rsidP="00FE7442">
      <w:pPr>
        <w:jc w:val="both"/>
        <w:rPr>
          <w:u w:val="single"/>
        </w:rPr>
      </w:pPr>
      <w:r>
        <w:tab/>
        <w:t xml:space="preserve">Према </w:t>
      </w:r>
      <w:r w:rsidR="008D1971">
        <w:t xml:space="preserve">расположивим </w:t>
      </w:r>
      <w:r>
        <w:t>подацима</w:t>
      </w:r>
      <w:r w:rsidR="008D1971">
        <w:t>,</w:t>
      </w:r>
      <w:r>
        <w:t xml:space="preserve"> од оснивања је </w:t>
      </w:r>
      <w:r w:rsidR="008D1971" w:rsidRPr="00C66E13">
        <w:rPr>
          <w:color w:val="ED7D31" w:themeColor="accent2"/>
        </w:rPr>
        <w:t xml:space="preserve">Агенцији </w:t>
      </w:r>
      <w:r w:rsidRPr="00C66E13">
        <w:rPr>
          <w:color w:val="ED7D31" w:themeColor="accent2"/>
        </w:rPr>
        <w:t>достављено уку</w:t>
      </w:r>
      <w:r w:rsidR="006E3AD9" w:rsidRPr="00C66E13">
        <w:rPr>
          <w:color w:val="ED7D31" w:themeColor="accent2"/>
        </w:rPr>
        <w:t>пно</w:t>
      </w:r>
      <w:r w:rsidR="005A4F19" w:rsidRPr="00C66E13">
        <w:rPr>
          <w:color w:val="ED7D31" w:themeColor="accent2"/>
        </w:rPr>
        <w:t xml:space="preserve"> </w:t>
      </w:r>
      <w:r w:rsidR="006E3AD9" w:rsidRPr="00C66E13">
        <w:rPr>
          <w:color w:val="ED7D31" w:themeColor="accent2"/>
        </w:rPr>
        <w:t>4</w:t>
      </w:r>
      <w:r w:rsidR="005A4F19" w:rsidRPr="00C66E13">
        <w:rPr>
          <w:color w:val="ED7D31" w:themeColor="accent2"/>
        </w:rPr>
        <w:t>.834</w:t>
      </w:r>
      <w:r w:rsidR="006E3AD9" w:rsidRPr="00C66E13">
        <w:rPr>
          <w:color w:val="ED7D31" w:themeColor="accent2"/>
        </w:rPr>
        <w:t xml:space="preserve"> ЕФИ-</w:t>
      </w:r>
      <w:r w:rsidR="00A4337A" w:rsidRPr="00C66E13">
        <w:rPr>
          <w:color w:val="ED7D31" w:themeColor="accent2"/>
        </w:rPr>
        <w:t>ја</w:t>
      </w:r>
      <w:r w:rsidR="00A4337A" w:rsidRPr="00C66E13">
        <w:t>.</w:t>
      </w:r>
    </w:p>
    <w:p w14:paraId="6D007E28" w14:textId="0C72B114" w:rsidR="00AD3B2C" w:rsidRDefault="006E3AD9" w:rsidP="006E3AD9">
      <w:pPr>
        <w:ind w:firstLine="720"/>
        <w:jc w:val="both"/>
      </w:pPr>
      <w:r>
        <w:t xml:space="preserve">На основу </w:t>
      </w:r>
      <w:r w:rsidR="008D1971">
        <w:t xml:space="preserve">резултата </w:t>
      </w:r>
      <w:r>
        <w:t xml:space="preserve">извршеног надзора над радом стечајних управника у вези са активностима на изради ЕФИ-ја, </w:t>
      </w:r>
      <w:r w:rsidR="00AD3B2C">
        <w:t>произлаз</w:t>
      </w:r>
      <w:r w:rsidR="00A4337A">
        <w:t xml:space="preserve">е смернице за израду ЕФИ-ја и </w:t>
      </w:r>
      <w:r w:rsidR="004A229F">
        <w:t>опис најчешћих</w:t>
      </w:r>
      <w:r w:rsidR="00A4337A">
        <w:t xml:space="preserve"> неправилности у раду стечајних управника</w:t>
      </w:r>
      <w:r w:rsidR="004A229F">
        <w:t xml:space="preserve"> </w:t>
      </w:r>
      <w:r w:rsidR="008D1971">
        <w:t>– у наставку</w:t>
      </w:r>
      <w:r w:rsidR="00A4337A">
        <w:t>.</w:t>
      </w:r>
      <w:r w:rsidR="00AD3B2C">
        <w:t xml:space="preserve">  </w:t>
      </w:r>
    </w:p>
    <w:p w14:paraId="392BE683" w14:textId="63F543F3" w:rsidR="00A4337A" w:rsidRDefault="00A4337A" w:rsidP="006E3AD9">
      <w:pPr>
        <w:ind w:firstLine="720"/>
        <w:jc w:val="both"/>
      </w:pPr>
    </w:p>
    <w:p w14:paraId="10A97C11" w14:textId="7AE448DB" w:rsidR="00F47592" w:rsidRDefault="00F47592" w:rsidP="006E3AD9">
      <w:pPr>
        <w:ind w:firstLine="720"/>
        <w:jc w:val="both"/>
      </w:pPr>
    </w:p>
    <w:p w14:paraId="51094E59" w14:textId="10948DF2" w:rsidR="00F47592" w:rsidRDefault="00F47592" w:rsidP="006E3AD9">
      <w:pPr>
        <w:ind w:firstLine="720"/>
        <w:jc w:val="both"/>
      </w:pPr>
    </w:p>
    <w:p w14:paraId="6D0F92AF" w14:textId="1FA1C562" w:rsidR="00F47592" w:rsidRDefault="00F47592" w:rsidP="006E3AD9">
      <w:pPr>
        <w:ind w:firstLine="720"/>
        <w:jc w:val="both"/>
      </w:pPr>
    </w:p>
    <w:p w14:paraId="097B2210" w14:textId="531EA4E3" w:rsidR="00F47592" w:rsidRDefault="00F47592" w:rsidP="006E3AD9">
      <w:pPr>
        <w:ind w:firstLine="720"/>
        <w:jc w:val="both"/>
      </w:pPr>
    </w:p>
    <w:p w14:paraId="53D6753C" w14:textId="4060688D" w:rsidR="00F47592" w:rsidRDefault="00F47592" w:rsidP="006E3AD9">
      <w:pPr>
        <w:ind w:firstLine="720"/>
        <w:jc w:val="both"/>
      </w:pPr>
    </w:p>
    <w:p w14:paraId="655C6C31" w14:textId="550CC912" w:rsidR="00F47592" w:rsidRDefault="00F47592" w:rsidP="006E3AD9">
      <w:pPr>
        <w:ind w:firstLine="720"/>
        <w:jc w:val="both"/>
      </w:pPr>
    </w:p>
    <w:p w14:paraId="056113B6" w14:textId="77777777" w:rsidR="00F47592" w:rsidRDefault="00F47592" w:rsidP="003E6539">
      <w:pPr>
        <w:jc w:val="both"/>
      </w:pPr>
    </w:p>
    <w:p w14:paraId="783DD414" w14:textId="77777777" w:rsidR="00F47592" w:rsidRDefault="00F47592" w:rsidP="006E3AD9">
      <w:pPr>
        <w:ind w:firstLine="720"/>
        <w:jc w:val="both"/>
      </w:pPr>
    </w:p>
    <w:p w14:paraId="300E1A92" w14:textId="745E335C" w:rsidR="005E29BB" w:rsidRPr="00D252C1" w:rsidRDefault="005E29BB" w:rsidP="005E29BB">
      <w:pPr>
        <w:spacing w:after="0"/>
        <w:jc w:val="center"/>
        <w:rPr>
          <w:b/>
          <w:color w:val="FFC000"/>
          <w:sz w:val="25"/>
          <w:szCs w:val="25"/>
        </w:rPr>
      </w:pPr>
      <w:r w:rsidRPr="00D252C1">
        <w:rPr>
          <w:b/>
          <w:color w:val="FFC000"/>
          <w:sz w:val="25"/>
          <w:szCs w:val="25"/>
        </w:rPr>
        <w:lastRenderedPageBreak/>
        <w:t>СМЕРНИЦЕ ЗА ИЗРАДУ ЕФИ-ЈА</w:t>
      </w:r>
    </w:p>
    <w:p w14:paraId="58F12C6E" w14:textId="77777777" w:rsidR="003E6539" w:rsidRDefault="005E29BB" w:rsidP="003E6539">
      <w:pPr>
        <w:spacing w:after="0"/>
        <w:jc w:val="center"/>
        <w:rPr>
          <w:b/>
          <w:color w:val="FFC000"/>
          <w:sz w:val="25"/>
          <w:szCs w:val="25"/>
        </w:rPr>
      </w:pPr>
      <w:r w:rsidRPr="00D252C1">
        <w:rPr>
          <w:b/>
          <w:color w:val="FFC000"/>
          <w:sz w:val="25"/>
          <w:szCs w:val="25"/>
        </w:rPr>
        <w:t>НАЈЧЕШЋ</w:t>
      </w:r>
      <w:r w:rsidR="003E6539">
        <w:rPr>
          <w:b/>
          <w:color w:val="FFC000"/>
          <w:sz w:val="25"/>
          <w:szCs w:val="25"/>
        </w:rPr>
        <w:t>Е</w:t>
      </w:r>
      <w:r w:rsidRPr="00D252C1">
        <w:rPr>
          <w:b/>
          <w:color w:val="FFC000"/>
          <w:sz w:val="25"/>
          <w:szCs w:val="25"/>
        </w:rPr>
        <w:t xml:space="preserve"> НЕПРАВИЛНОСТИ У РАДУ СТЕЧАЈНИХ УПРАВНИКА </w:t>
      </w:r>
    </w:p>
    <w:p w14:paraId="7A77AFCE" w14:textId="3742644F" w:rsidR="00F47592" w:rsidRPr="00D252C1" w:rsidRDefault="005E29BB" w:rsidP="005E29BB">
      <w:pPr>
        <w:jc w:val="center"/>
        <w:rPr>
          <w:b/>
          <w:color w:val="FFC000"/>
          <w:sz w:val="25"/>
          <w:szCs w:val="25"/>
        </w:rPr>
      </w:pPr>
      <w:r w:rsidRPr="00D252C1">
        <w:rPr>
          <w:b/>
          <w:color w:val="FFC000"/>
          <w:sz w:val="25"/>
          <w:szCs w:val="25"/>
        </w:rPr>
        <w:t>У ВЕЗИ СА ИЗРАДОМ ЕФИ-ЈА</w:t>
      </w:r>
    </w:p>
    <w:p w14:paraId="325DD831" w14:textId="57641778" w:rsidR="00541D56" w:rsidRDefault="00541D56" w:rsidP="00F47592"/>
    <w:tbl>
      <w:tblPr>
        <w:tblStyle w:val="GridTable1Light-Accent4"/>
        <w:tblW w:w="5000" w:type="pct"/>
        <w:tblLook w:val="04A0" w:firstRow="1" w:lastRow="0" w:firstColumn="1" w:lastColumn="0" w:noHBand="0" w:noVBand="1"/>
      </w:tblPr>
      <w:tblGrid>
        <w:gridCol w:w="2828"/>
        <w:gridCol w:w="6568"/>
      </w:tblGrid>
      <w:tr w:rsidR="004C71B5" w14:paraId="2803F55E" w14:textId="77777777" w:rsidTr="008E65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5" w:type="pct"/>
            <w:vAlign w:val="center"/>
          </w:tcPr>
          <w:p w14:paraId="59965AC0" w14:textId="3AE8EFCA" w:rsidR="004C71B5" w:rsidRDefault="004C71B5" w:rsidP="008E6586">
            <w:r>
              <w:t>Део ЕФИ-ја</w:t>
            </w:r>
          </w:p>
        </w:tc>
        <w:tc>
          <w:tcPr>
            <w:tcW w:w="3495" w:type="pct"/>
          </w:tcPr>
          <w:p w14:paraId="78246A03" w14:textId="5C2B802C" w:rsidR="004C71B5" w:rsidRPr="004C71B5" w:rsidRDefault="004C71B5" w:rsidP="00F47592">
            <w:pPr>
              <w:cnfStyle w:val="100000000000" w:firstRow="1" w:lastRow="0" w:firstColumn="0" w:lastColumn="0" w:oddVBand="0" w:evenVBand="0" w:oddHBand="0" w:evenHBand="0" w:firstRowFirstColumn="0" w:firstRowLastColumn="0" w:lastRowFirstColumn="0" w:lastRowLastColumn="0"/>
            </w:pPr>
            <w:r w:rsidRPr="004C71B5">
              <w:t>Смернице за израду ЕФИ-ја</w:t>
            </w:r>
          </w:p>
        </w:tc>
      </w:tr>
      <w:tr w:rsidR="008E6586" w14:paraId="0FB41FB4" w14:textId="77777777" w:rsidTr="008E6586">
        <w:tc>
          <w:tcPr>
            <w:cnfStyle w:val="001000000000" w:firstRow="0" w:lastRow="0" w:firstColumn="1" w:lastColumn="0" w:oddVBand="0" w:evenVBand="0" w:oddHBand="0" w:evenHBand="0" w:firstRowFirstColumn="0" w:firstRowLastColumn="0" w:lastRowFirstColumn="0" w:lastRowLastColumn="0"/>
            <w:tcW w:w="1505" w:type="pct"/>
            <w:vAlign w:val="center"/>
          </w:tcPr>
          <w:p w14:paraId="48B58A2B" w14:textId="77828223" w:rsidR="008E6586" w:rsidRDefault="008E6586" w:rsidP="008E6586">
            <w:r>
              <w:t xml:space="preserve">Насловна страна </w:t>
            </w:r>
          </w:p>
          <w:p w14:paraId="25FA09FB" w14:textId="112D5C23" w:rsidR="008E6586" w:rsidRPr="008E6586" w:rsidRDefault="008E6586" w:rsidP="008E6586">
            <w:pPr>
              <w:rPr>
                <w:b w:val="0"/>
                <w:i/>
                <w:sz w:val="20"/>
                <w:szCs w:val="20"/>
              </w:rPr>
            </w:pPr>
            <w:r w:rsidRPr="008E6586">
              <w:rPr>
                <w:b w:val="0"/>
                <w:i/>
                <w:sz w:val="20"/>
                <w:szCs w:val="20"/>
              </w:rPr>
              <w:t>(подаци о надлежном суду, назив стечајног дужника, Ст. број, датум и место израде извештаја)</w:t>
            </w:r>
          </w:p>
        </w:tc>
        <w:tc>
          <w:tcPr>
            <w:tcW w:w="3495" w:type="pct"/>
          </w:tcPr>
          <w:p w14:paraId="0BEB1607" w14:textId="77777777" w:rsidR="004C71B5" w:rsidRDefault="004C71B5" w:rsidP="00F47592">
            <w:pPr>
              <w:cnfStyle w:val="000000000000" w:firstRow="0" w:lastRow="0" w:firstColumn="0" w:lastColumn="0" w:oddVBand="0" w:evenVBand="0" w:oddHBand="0" w:evenHBand="0" w:firstRowFirstColumn="0" w:firstRowLastColumn="0" w:lastRowFirstColumn="0" w:lastRowLastColumn="0"/>
              <w:rPr>
                <w:b/>
              </w:rPr>
            </w:pPr>
          </w:p>
          <w:p w14:paraId="5BFD896C" w14:textId="57C0B9AB" w:rsidR="008E6586" w:rsidRPr="004C71B5" w:rsidRDefault="008E6586" w:rsidP="00F47592">
            <w:pPr>
              <w:cnfStyle w:val="000000000000" w:firstRow="0" w:lastRow="0" w:firstColumn="0" w:lastColumn="0" w:oddVBand="0" w:evenVBand="0" w:oddHBand="0" w:evenHBand="0" w:firstRowFirstColumn="0" w:firstRowLastColumn="0" w:lastRowFirstColumn="0" w:lastRowLastColumn="0"/>
            </w:pPr>
            <w:r w:rsidRPr="004C71B5">
              <w:t>Датум извештаја ≠ датум отварања стечајног поступка, датум првог поверилачког рочишта</w:t>
            </w:r>
          </w:p>
          <w:p w14:paraId="659D0440" w14:textId="53B8F6D9" w:rsidR="008E6586" w:rsidRPr="004C71B5" w:rsidRDefault="008E6586" w:rsidP="00F47592">
            <w:pPr>
              <w:cnfStyle w:val="000000000000" w:firstRow="0" w:lastRow="0" w:firstColumn="0" w:lastColumn="0" w:oddVBand="0" w:evenVBand="0" w:oddHBand="0" w:evenHBand="0" w:firstRowFirstColumn="0" w:firstRowLastColumn="0" w:lastRowFirstColumn="0" w:lastRowLastColumn="0"/>
            </w:pPr>
            <w:r w:rsidRPr="004C71B5">
              <w:t>Стечајни управници самостално у ЕРС-у уписују датум ЕФИ-ја</w:t>
            </w:r>
          </w:p>
          <w:p w14:paraId="31F12A28" w14:textId="77777777" w:rsidR="008E6586" w:rsidRPr="004C71B5" w:rsidRDefault="008E6586" w:rsidP="008E6586">
            <w:pPr>
              <w:cnfStyle w:val="000000000000" w:firstRow="0" w:lastRow="0" w:firstColumn="0" w:lastColumn="0" w:oddVBand="0" w:evenVBand="0" w:oddHBand="0" w:evenHBand="0" w:firstRowFirstColumn="0" w:firstRowLastColumn="0" w:lastRowFirstColumn="0" w:lastRowLastColumn="0"/>
            </w:pPr>
            <w:r w:rsidRPr="00515600">
              <w:rPr>
                <w:color w:val="ED7D31" w:themeColor="accent2"/>
              </w:rPr>
              <w:t xml:space="preserve">ЕРС напомена </w:t>
            </w:r>
            <w:r w:rsidRPr="004C71B5">
              <w:t>– водити рачуна да датум регистровања имовине у ЕРС-у буде датум пре датума ЕФИ-ја</w:t>
            </w:r>
          </w:p>
          <w:p w14:paraId="1E73BCA1" w14:textId="61BA8876" w:rsidR="004C71B5" w:rsidRPr="00541D56" w:rsidRDefault="004C71B5" w:rsidP="008E6586">
            <w:pPr>
              <w:cnfStyle w:val="000000000000" w:firstRow="0" w:lastRow="0" w:firstColumn="0" w:lastColumn="0" w:oddVBand="0" w:evenVBand="0" w:oddHBand="0" w:evenHBand="0" w:firstRowFirstColumn="0" w:firstRowLastColumn="0" w:lastRowFirstColumn="0" w:lastRowLastColumn="0"/>
              <w:rPr>
                <w:b/>
              </w:rPr>
            </w:pPr>
          </w:p>
        </w:tc>
      </w:tr>
      <w:tr w:rsidR="008E6586" w14:paraId="33AE2D41" w14:textId="77777777" w:rsidTr="004C71B5">
        <w:tc>
          <w:tcPr>
            <w:cnfStyle w:val="001000000000" w:firstRow="0" w:lastRow="0" w:firstColumn="1" w:lastColumn="0" w:oddVBand="0" w:evenVBand="0" w:oddHBand="0" w:evenHBand="0" w:firstRowFirstColumn="0" w:firstRowLastColumn="0" w:lastRowFirstColumn="0" w:lastRowLastColumn="0"/>
            <w:tcW w:w="1505" w:type="pct"/>
            <w:vAlign w:val="center"/>
          </w:tcPr>
          <w:p w14:paraId="483090E4" w14:textId="77777777" w:rsidR="008E6586" w:rsidRDefault="008E6586" w:rsidP="008E6586">
            <w:r>
              <w:t>Увод</w:t>
            </w:r>
          </w:p>
          <w:p w14:paraId="1BBA595F" w14:textId="37921CA3" w:rsidR="008E6586" w:rsidRDefault="008E6586" w:rsidP="008E6586">
            <w:r w:rsidRPr="008E6586">
              <w:rPr>
                <w:b w:val="0"/>
                <w:i/>
                <w:sz w:val="20"/>
                <w:szCs w:val="20"/>
              </w:rPr>
              <w:t xml:space="preserve">(подаци о </w:t>
            </w:r>
            <w:r w:rsidR="001C0829">
              <w:rPr>
                <w:b w:val="0"/>
                <w:i/>
                <w:sz w:val="20"/>
                <w:szCs w:val="20"/>
              </w:rPr>
              <w:t>о стеч. судији, стеч.</w:t>
            </w:r>
            <w:r w:rsidRPr="008E6586">
              <w:rPr>
                <w:b w:val="0"/>
                <w:i/>
                <w:sz w:val="20"/>
                <w:szCs w:val="20"/>
              </w:rPr>
              <w:t xml:space="preserve"> управнику, у</w:t>
            </w:r>
            <w:r w:rsidR="001C0829">
              <w:rPr>
                <w:b w:val="0"/>
                <w:i/>
                <w:sz w:val="20"/>
                <w:szCs w:val="20"/>
              </w:rPr>
              <w:t>зроцима који довели до стеч</w:t>
            </w:r>
            <w:r w:rsidRPr="008E6586">
              <w:rPr>
                <w:b w:val="0"/>
                <w:i/>
                <w:sz w:val="20"/>
                <w:szCs w:val="20"/>
              </w:rPr>
              <w:t xml:space="preserve"> поступка и кратак историјат)</w:t>
            </w:r>
          </w:p>
        </w:tc>
        <w:tc>
          <w:tcPr>
            <w:tcW w:w="3495" w:type="pct"/>
            <w:vAlign w:val="center"/>
          </w:tcPr>
          <w:p w14:paraId="57034656" w14:textId="5D62CA21" w:rsidR="008E6586" w:rsidRPr="008E6586" w:rsidRDefault="008E6586" w:rsidP="004C71B5">
            <w:pPr>
              <w:cnfStyle w:val="000000000000" w:firstRow="0" w:lastRow="0" w:firstColumn="0" w:lastColumn="0" w:oddVBand="0" w:evenVBand="0" w:oddHBand="0" w:evenHBand="0" w:firstRowFirstColumn="0" w:firstRowLastColumn="0" w:lastRowFirstColumn="0" w:lastRowLastColumn="0"/>
            </w:pPr>
            <w:r>
              <w:t xml:space="preserve">Унети конкретне и најбитније информације </w:t>
            </w:r>
          </w:p>
        </w:tc>
      </w:tr>
      <w:tr w:rsidR="004C71B5" w14:paraId="31C7FA62" w14:textId="77777777" w:rsidTr="004C71B5">
        <w:tc>
          <w:tcPr>
            <w:cnfStyle w:val="001000000000" w:firstRow="0" w:lastRow="0" w:firstColumn="1" w:lastColumn="0" w:oddVBand="0" w:evenVBand="0" w:oddHBand="0" w:evenHBand="0" w:firstRowFirstColumn="0" w:firstRowLastColumn="0" w:lastRowFirstColumn="0" w:lastRowLastColumn="0"/>
            <w:tcW w:w="1505" w:type="pct"/>
            <w:vAlign w:val="center"/>
          </w:tcPr>
          <w:p w14:paraId="2F61CBB2" w14:textId="5E37999C" w:rsidR="004C71B5" w:rsidRDefault="004C71B5" w:rsidP="008E6586">
            <w:r w:rsidRPr="004C71B5">
              <w:t>Опис мера и активности које је стечајни управник предузео у циљу заштите имовине стечајног дужника</w:t>
            </w:r>
          </w:p>
        </w:tc>
        <w:tc>
          <w:tcPr>
            <w:tcW w:w="3495" w:type="pct"/>
            <w:vAlign w:val="center"/>
          </w:tcPr>
          <w:p w14:paraId="13718313" w14:textId="77777777" w:rsidR="004C71B5" w:rsidRDefault="004C71B5" w:rsidP="004C71B5">
            <w:pPr>
              <w:cnfStyle w:val="000000000000" w:firstRow="0" w:lastRow="0" w:firstColumn="0" w:lastColumn="0" w:oddVBand="0" w:evenVBand="0" w:oddHBand="0" w:evenHBand="0" w:firstRowFirstColumn="0" w:firstRowLastColumn="0" w:lastRowFirstColumn="0" w:lastRowLastColumn="0"/>
            </w:pPr>
          </w:p>
          <w:p w14:paraId="71931470" w14:textId="603ADB13" w:rsidR="004C71B5" w:rsidRDefault="004C71B5" w:rsidP="004C71B5">
            <w:pPr>
              <w:cnfStyle w:val="000000000000" w:firstRow="0" w:lastRow="0" w:firstColumn="0" w:lastColumn="0" w:oddVBand="0" w:evenVBand="0" w:oddHBand="0" w:evenHBand="0" w:firstRowFirstColumn="0" w:firstRowLastColumn="0" w:lastRowFirstColumn="0" w:lastRowLastColumn="0"/>
            </w:pPr>
            <w:r>
              <w:t>Без обзира на вредност имовине, у овом</w:t>
            </w:r>
            <w:r w:rsidR="007364E4">
              <w:t xml:space="preserve"> делу извештаја </w:t>
            </w:r>
            <w:r>
              <w:t xml:space="preserve"> неопходно </w:t>
            </w:r>
            <w:r w:rsidR="007364E4">
              <w:t xml:space="preserve">је </w:t>
            </w:r>
            <w:r>
              <w:t xml:space="preserve">навести описе мера и активности стечајног управника </w:t>
            </w:r>
            <w:r w:rsidR="007364E4">
              <w:t>које се односе на прикупљање информација, преузимање, заштиту, попис и процену</w:t>
            </w:r>
            <w:r>
              <w:t xml:space="preserve"> вредности имовине.</w:t>
            </w:r>
          </w:p>
          <w:p w14:paraId="04BE319E" w14:textId="77777777" w:rsidR="004C71B5" w:rsidRDefault="004C71B5" w:rsidP="004C71B5">
            <w:pPr>
              <w:cnfStyle w:val="000000000000" w:firstRow="0" w:lastRow="0" w:firstColumn="0" w:lastColumn="0" w:oddVBand="0" w:evenVBand="0" w:oddHBand="0" w:evenHBand="0" w:firstRowFirstColumn="0" w:firstRowLastColumn="0" w:lastRowFirstColumn="0" w:lastRowLastColumn="0"/>
            </w:pPr>
          </w:p>
          <w:p w14:paraId="32840326" w14:textId="77777777" w:rsidR="004C71B5" w:rsidRDefault="004C71B5" w:rsidP="004C71B5">
            <w:pPr>
              <w:cnfStyle w:val="000000000000" w:firstRow="0" w:lastRow="0" w:firstColumn="0" w:lastColumn="0" w:oddVBand="0" w:evenVBand="0" w:oddHBand="0" w:evenHBand="0" w:firstRowFirstColumn="0" w:firstRowLastColumn="0" w:lastRowFirstColumn="0" w:lastRowLastColumn="0"/>
            </w:pPr>
            <w:r>
              <w:t>Водити рачуна да су предузете мере/активности документоване на одговарајући начин.</w:t>
            </w:r>
          </w:p>
          <w:p w14:paraId="0F823957" w14:textId="77777777" w:rsidR="004C71B5" w:rsidRDefault="004C71B5" w:rsidP="004C71B5">
            <w:pPr>
              <w:cnfStyle w:val="000000000000" w:firstRow="0" w:lastRow="0" w:firstColumn="0" w:lastColumn="0" w:oddVBand="0" w:evenVBand="0" w:oddHBand="0" w:evenHBand="0" w:firstRowFirstColumn="0" w:firstRowLastColumn="0" w:lastRowFirstColumn="0" w:lastRowLastColumn="0"/>
            </w:pPr>
          </w:p>
          <w:p w14:paraId="0D79A964" w14:textId="4CE66303" w:rsidR="004C71B5" w:rsidRDefault="004C71B5" w:rsidP="004C71B5">
            <w:pPr>
              <w:cnfStyle w:val="000000000000" w:firstRow="0" w:lastRow="0" w:firstColumn="0" w:lastColumn="0" w:oddVBand="0" w:evenVBand="0" w:oddHBand="0" w:evenHBand="0" w:firstRowFirstColumn="0" w:firstRowLastColumn="0" w:lastRowFirstColumn="0" w:lastRowLastColumn="0"/>
            </w:pPr>
            <w:r>
              <w:t>Искористити понуђене активности из списка у ЕРС-у у што већој мери, посебно за активности које нису садржане у преосталим деловима извештаја (у вези са провером могућих конфликата интереса, уласком у посед, обезбеђењем и осигурањем имовине, ангажовање</w:t>
            </w:r>
            <w:r w:rsidR="001638CF">
              <w:t>м</w:t>
            </w:r>
            <w:r>
              <w:t xml:space="preserve"> лица, преузимање</w:t>
            </w:r>
            <w:r w:rsidR="001638CF">
              <w:t>м</w:t>
            </w:r>
            <w:r>
              <w:t xml:space="preserve"> судских предмета, анализом уговора). </w:t>
            </w:r>
          </w:p>
          <w:p w14:paraId="11DE8843" w14:textId="77777777" w:rsidR="004C71B5" w:rsidRDefault="004C71B5" w:rsidP="004C71B5">
            <w:pPr>
              <w:cnfStyle w:val="000000000000" w:firstRow="0" w:lastRow="0" w:firstColumn="0" w:lastColumn="0" w:oddVBand="0" w:evenVBand="0" w:oddHBand="0" w:evenHBand="0" w:firstRowFirstColumn="0" w:firstRowLastColumn="0" w:lastRowFirstColumn="0" w:lastRowLastColumn="0"/>
            </w:pPr>
          </w:p>
          <w:p w14:paraId="0E454B96" w14:textId="77777777" w:rsidR="004C71B5" w:rsidRDefault="004C71B5" w:rsidP="004C71B5">
            <w:pPr>
              <w:cnfStyle w:val="000000000000" w:firstRow="0" w:lastRow="0" w:firstColumn="0" w:lastColumn="0" w:oddVBand="0" w:evenVBand="0" w:oddHBand="0" w:evenHBand="0" w:firstRowFirstColumn="0" w:firstRowLastColumn="0" w:lastRowFirstColumn="0" w:lastRowLastColumn="0"/>
            </w:pPr>
            <w:r>
              <w:t>За конкретну активности попунити оба датума и опис.</w:t>
            </w:r>
          </w:p>
          <w:p w14:paraId="55D043DB" w14:textId="0F6419FA" w:rsidR="004C71B5" w:rsidRDefault="004C71B5" w:rsidP="004C71B5">
            <w:pPr>
              <w:cnfStyle w:val="000000000000" w:firstRow="0" w:lastRow="0" w:firstColumn="0" w:lastColumn="0" w:oddVBand="0" w:evenVBand="0" w:oddHBand="0" w:evenHBand="0" w:firstRowFirstColumn="0" w:firstRowLastColumn="0" w:lastRowFirstColumn="0" w:lastRowLastColumn="0"/>
            </w:pPr>
          </w:p>
        </w:tc>
      </w:tr>
    </w:tbl>
    <w:p w14:paraId="3D7F4AF5" w14:textId="0799AD97" w:rsidR="004C71B5" w:rsidRPr="001C0829" w:rsidRDefault="004C71B5" w:rsidP="00F47592">
      <w:pPr>
        <w:spacing w:after="0"/>
        <w:rPr>
          <w:b/>
          <w:color w:val="ED7D31" w:themeColor="accent2"/>
        </w:rPr>
      </w:pPr>
      <w:r>
        <w:rPr>
          <w:b/>
          <w:color w:val="FFC000"/>
        </w:rPr>
        <w:t xml:space="preserve">                                                                                           </w:t>
      </w:r>
    </w:p>
    <w:p w14:paraId="0AB732A5" w14:textId="2AE03F26" w:rsidR="001C0829" w:rsidRPr="001C0829" w:rsidRDefault="00F47592" w:rsidP="001C0829">
      <w:pPr>
        <w:spacing w:after="0"/>
        <w:rPr>
          <w:b/>
          <w:color w:val="ED7D31" w:themeColor="accent2"/>
        </w:rPr>
      </w:pPr>
      <w:r w:rsidRPr="00210A9D">
        <w:rPr>
          <w:b/>
          <w:color w:val="FFC000"/>
        </w:rPr>
        <w:tab/>
      </w:r>
      <w:r w:rsidRPr="00210A9D">
        <w:rPr>
          <w:b/>
          <w:color w:val="FFC000"/>
        </w:rPr>
        <w:tab/>
        <w:t xml:space="preserve">      </w:t>
      </w:r>
      <w:r w:rsidR="001C0829">
        <w:rPr>
          <w:b/>
          <w:color w:val="FFC000"/>
        </w:rPr>
        <w:t xml:space="preserve">                                                       </w:t>
      </w:r>
      <w:r w:rsidR="001C0829" w:rsidRPr="001C0829">
        <w:rPr>
          <w:b/>
          <w:color w:val="ED7D31" w:themeColor="accent2"/>
        </w:rPr>
        <w:t>Пример потпуне информације:</w:t>
      </w:r>
    </w:p>
    <w:p w14:paraId="67C9BE33" w14:textId="4637BD6A" w:rsidR="00F47592" w:rsidRDefault="001C0829" w:rsidP="00F47592">
      <w:pPr>
        <w:spacing w:after="0"/>
        <w:rPr>
          <w:b/>
          <w:color w:val="ED7D31" w:themeColor="accent2"/>
        </w:rPr>
      </w:pPr>
      <w:r w:rsidRPr="00210A9D">
        <w:rPr>
          <w:b/>
          <w:noProof/>
          <w:color w:val="FFC000"/>
          <w:lang w:val="en-US"/>
        </w:rPr>
        <mc:AlternateContent>
          <mc:Choice Requires="wps">
            <w:drawing>
              <wp:anchor distT="45720" distB="45720" distL="114300" distR="114300" simplePos="0" relativeHeight="251712512" behindDoc="0" locked="0" layoutInCell="1" allowOverlap="1" wp14:anchorId="7631D024" wp14:editId="367F5E48">
                <wp:simplePos x="0" y="0"/>
                <wp:positionH relativeFrom="margin">
                  <wp:posOffset>2853055</wp:posOffset>
                </wp:positionH>
                <wp:positionV relativeFrom="paragraph">
                  <wp:posOffset>137160</wp:posOffset>
                </wp:positionV>
                <wp:extent cx="3522980" cy="1404620"/>
                <wp:effectExtent l="0" t="0" r="20320" b="2794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2980" cy="1404620"/>
                        </a:xfrm>
                        <a:prstGeom prst="rect">
                          <a:avLst/>
                        </a:prstGeom>
                        <a:solidFill>
                          <a:srgbClr val="FFFFFF"/>
                        </a:solidFill>
                        <a:ln w="9525">
                          <a:solidFill>
                            <a:srgbClr val="000000"/>
                          </a:solidFill>
                          <a:miter lim="800000"/>
                          <a:headEnd/>
                          <a:tailEnd/>
                        </a:ln>
                      </wps:spPr>
                      <wps:txbx>
                        <w:txbxContent>
                          <w:p w14:paraId="07CD7025" w14:textId="77777777" w:rsidR="00F47592" w:rsidRPr="003E09CC" w:rsidRDefault="00F47592" w:rsidP="00F47592">
                            <w:pPr>
                              <w:spacing w:after="0"/>
                              <w:rPr>
                                <w:b/>
                                <w:sz w:val="20"/>
                                <w:szCs w:val="20"/>
                              </w:rPr>
                            </w:pPr>
                            <w:r w:rsidRPr="003E09CC">
                              <w:rPr>
                                <w:b/>
                                <w:sz w:val="20"/>
                                <w:szCs w:val="20"/>
                              </w:rPr>
                              <w:t>Прикупљање информација - интерни извори</w:t>
                            </w:r>
                          </w:p>
                          <w:p w14:paraId="6F53EF4A" w14:textId="77777777" w:rsidR="00F47592" w:rsidRPr="003E09CC" w:rsidRDefault="00F47592" w:rsidP="00F47592">
                            <w:pPr>
                              <w:spacing w:after="0"/>
                              <w:rPr>
                                <w:sz w:val="20"/>
                                <w:szCs w:val="20"/>
                              </w:rPr>
                            </w:pPr>
                            <w:r w:rsidRPr="003E09CC">
                              <w:rPr>
                                <w:sz w:val="20"/>
                                <w:szCs w:val="20"/>
                              </w:rPr>
                              <w:t>Врста активности: Почетна активност</w:t>
                            </w:r>
                          </w:p>
                          <w:p w14:paraId="020FDE67" w14:textId="571ABB22" w:rsidR="00F47592" w:rsidRPr="003E09CC" w:rsidRDefault="001C0829" w:rsidP="00F47592">
                            <w:pPr>
                              <w:spacing w:after="0"/>
                              <w:rPr>
                                <w:sz w:val="20"/>
                                <w:szCs w:val="20"/>
                              </w:rPr>
                            </w:pPr>
                            <w:r>
                              <w:rPr>
                                <w:sz w:val="20"/>
                                <w:szCs w:val="20"/>
                              </w:rPr>
                              <w:t>Датум почетка: 18.11.2017</w:t>
                            </w:r>
                            <w:r w:rsidR="00F47592" w:rsidRPr="003E09CC">
                              <w:rPr>
                                <w:sz w:val="20"/>
                                <w:szCs w:val="20"/>
                              </w:rPr>
                              <w:t>.</w:t>
                            </w:r>
                          </w:p>
                          <w:p w14:paraId="35D3B3EA" w14:textId="3E68D3CB" w:rsidR="00F47592" w:rsidRPr="003E09CC" w:rsidRDefault="001C0829" w:rsidP="00F47592">
                            <w:pPr>
                              <w:spacing w:after="0"/>
                              <w:rPr>
                                <w:sz w:val="20"/>
                                <w:szCs w:val="20"/>
                              </w:rPr>
                            </w:pPr>
                            <w:r>
                              <w:rPr>
                                <w:sz w:val="20"/>
                                <w:szCs w:val="20"/>
                              </w:rPr>
                              <w:t>Датум завршетка: 21.11.2017</w:t>
                            </w:r>
                            <w:r w:rsidR="00F47592" w:rsidRPr="003E09CC">
                              <w:rPr>
                                <w:sz w:val="20"/>
                                <w:szCs w:val="20"/>
                              </w:rPr>
                              <w:t>.</w:t>
                            </w:r>
                          </w:p>
                          <w:p w14:paraId="15A9EF14" w14:textId="77777777" w:rsidR="00F47592" w:rsidRPr="003E09CC" w:rsidRDefault="00F47592" w:rsidP="00F47592">
                            <w:pPr>
                              <w:spacing w:after="0"/>
                              <w:rPr>
                                <w:sz w:val="20"/>
                                <w:szCs w:val="20"/>
                              </w:rPr>
                            </w:pPr>
                            <w:r w:rsidRPr="003E09CC">
                              <w:rPr>
                                <w:sz w:val="20"/>
                                <w:szCs w:val="20"/>
                              </w:rPr>
                              <w:t xml:space="preserve">Опис: Прикупљање података од </w:t>
                            </w:r>
                            <w:r w:rsidRPr="00210A9D">
                              <w:rPr>
                                <w:sz w:val="20"/>
                                <w:szCs w:val="20"/>
                              </w:rPr>
                              <w:t>_______</w:t>
                            </w:r>
                            <w:r>
                              <w:rPr>
                                <w:sz w:val="20"/>
                                <w:szCs w:val="20"/>
                              </w:rPr>
                              <w:t xml:space="preserve"> (функција, основ), ________ (име и презиме) из _________ (место), о _________ (предмет), о чему је сачињен записник/изјава предметног датума, број ______ (заводни број).</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631D024" id="Text Box 2" o:spid="_x0000_s1027" type="#_x0000_t202" style="position:absolute;margin-left:224.65pt;margin-top:10.8pt;width:277.4pt;height:110.6pt;z-index:251712512;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JWYJQIAAE0EAAAOAAAAZHJzL2Uyb0RvYy54bWysVNuO0zAQfUfiHyy/06ShXdqo6WrpUoS0&#10;XKRdPmDiOI2Fb9huk/L1jJ22VAu8IPJgeTzj45lzZrK6HZQkB+68MLqi00lOCdfMNELvKvr1aftq&#10;QYkPoBuQRvOKHrmnt+uXL1a9LXlhOiMb7giCaF/2tqJdCLbMMs86rsBPjOUana1xCgKabpc1DnpE&#10;VzIr8vwm641rrDOMe4+n96OTrhN+23IWPret54HIimJuIa0urXVcs/UKyp0D2wl2SgP+IQsFQuOj&#10;F6h7CED2TvwGpQRzxps2TJhRmWlbwXiqAauZ5s+qeezA8lQLkuPthSb//2DZp8MXR0SD2hWUaFCo&#10;0RMfAnlrBlJEenrrS4x6tBgXBjzG0FSqtw+GffNEm00HesfvnDN9x6HB9KbxZnZ1dcTxEaTuP5oG&#10;n4F9MAloaJ2K3CEbBNFRpuNFmpgKw8PX86JYLtDF0Ded5bObIomXQXm+bp0P77lRJG4q6lD7BA+H&#10;Bx9iOlCeQ+Jr3kjRbIWUyXC7eiMdOQD2yTZ9qYJnYVKTvqLLeTEfGfgrRJ6+P0EoEbDhpVAVXVyC&#10;oIy8vdNNascAQo57TFnqE5GRu5HFMNTDKNlZn9o0R2TWmbG/cR5x0xn3g5Iee7ui/vseHKdEftCo&#10;znI6m8VhSMZs/gapJO7aU197QDOEqmigZNxuQhqgxJu9QxW3IvEb5R4zOaWMPZtoP81XHIprO0X9&#10;+gusfwIAAP//AwBQSwMEFAAGAAgAAAAhAI8oxb7fAAAACwEAAA8AAABkcnMvZG93bnJldi54bWxM&#10;j8FuwjAMhu+T9g6RJ+2CRtJSKuiaog2J00507B4a01ZrnC4JUN5+4bQdbX/6/f3lZjIDu6DzvSUJ&#10;yVwAQ2qs7qmVcPjcvayA+aBIq8ESSrihh031+FCqQtsr7fFSh5bFEPKFktCFMBac+6ZDo/zcjkjx&#10;drLOqBBH13Lt1DWGm4GnQuTcqJ7ih06NuO2w+a7PRkL+Uy9mH196Rvvb7t01Zqm3h6WUz0/T2yuw&#10;gFP4g+GuH9Whik5Heybt2SAhy9aLiEpIkxzYHRAiS4Ad4yZLV8Crkv/vUP0CAAD//wMAUEsBAi0A&#10;FAAGAAgAAAAhALaDOJL+AAAA4QEAABMAAAAAAAAAAAAAAAAAAAAAAFtDb250ZW50X1R5cGVzXS54&#10;bWxQSwECLQAUAAYACAAAACEAOP0h/9YAAACUAQAACwAAAAAAAAAAAAAAAAAvAQAAX3JlbHMvLnJl&#10;bHNQSwECLQAUAAYACAAAACEAegyVmCUCAABNBAAADgAAAAAAAAAAAAAAAAAuAgAAZHJzL2Uyb0Rv&#10;Yy54bWxQSwECLQAUAAYACAAAACEAjyjFvt8AAAALAQAADwAAAAAAAAAAAAAAAAB/BAAAZHJzL2Rv&#10;d25yZXYueG1sUEsFBgAAAAAEAAQA8wAAAIsFAAAAAA==&#10;">
                <v:textbox style="mso-fit-shape-to-text:t">
                  <w:txbxContent>
                    <w:p w14:paraId="07CD7025" w14:textId="77777777" w:rsidR="00F47592" w:rsidRPr="003E09CC" w:rsidRDefault="00F47592" w:rsidP="00F47592">
                      <w:pPr>
                        <w:spacing w:after="0"/>
                        <w:rPr>
                          <w:b/>
                          <w:sz w:val="20"/>
                          <w:szCs w:val="20"/>
                        </w:rPr>
                      </w:pPr>
                      <w:r w:rsidRPr="003E09CC">
                        <w:rPr>
                          <w:b/>
                          <w:sz w:val="20"/>
                          <w:szCs w:val="20"/>
                        </w:rPr>
                        <w:t>Прикупљање информација - интерни извори</w:t>
                      </w:r>
                    </w:p>
                    <w:p w14:paraId="6F53EF4A" w14:textId="77777777" w:rsidR="00F47592" w:rsidRPr="003E09CC" w:rsidRDefault="00F47592" w:rsidP="00F47592">
                      <w:pPr>
                        <w:spacing w:after="0"/>
                        <w:rPr>
                          <w:sz w:val="20"/>
                          <w:szCs w:val="20"/>
                        </w:rPr>
                      </w:pPr>
                      <w:r w:rsidRPr="003E09CC">
                        <w:rPr>
                          <w:sz w:val="20"/>
                          <w:szCs w:val="20"/>
                        </w:rPr>
                        <w:t>Врста активности: Почетна активност</w:t>
                      </w:r>
                    </w:p>
                    <w:p w14:paraId="020FDE67" w14:textId="571ABB22" w:rsidR="00F47592" w:rsidRPr="003E09CC" w:rsidRDefault="001C0829" w:rsidP="00F47592">
                      <w:pPr>
                        <w:spacing w:after="0"/>
                        <w:rPr>
                          <w:sz w:val="20"/>
                          <w:szCs w:val="20"/>
                        </w:rPr>
                      </w:pPr>
                      <w:r>
                        <w:rPr>
                          <w:sz w:val="20"/>
                          <w:szCs w:val="20"/>
                        </w:rPr>
                        <w:t>Датум почетка: 18.11.2017</w:t>
                      </w:r>
                      <w:r w:rsidR="00F47592" w:rsidRPr="003E09CC">
                        <w:rPr>
                          <w:sz w:val="20"/>
                          <w:szCs w:val="20"/>
                        </w:rPr>
                        <w:t>.</w:t>
                      </w:r>
                    </w:p>
                    <w:p w14:paraId="35D3B3EA" w14:textId="3E68D3CB" w:rsidR="00F47592" w:rsidRPr="003E09CC" w:rsidRDefault="001C0829" w:rsidP="00F47592">
                      <w:pPr>
                        <w:spacing w:after="0"/>
                        <w:rPr>
                          <w:sz w:val="20"/>
                          <w:szCs w:val="20"/>
                        </w:rPr>
                      </w:pPr>
                      <w:r>
                        <w:rPr>
                          <w:sz w:val="20"/>
                          <w:szCs w:val="20"/>
                        </w:rPr>
                        <w:t>Датум завршетка: 21.11.2017</w:t>
                      </w:r>
                      <w:r w:rsidR="00F47592" w:rsidRPr="003E09CC">
                        <w:rPr>
                          <w:sz w:val="20"/>
                          <w:szCs w:val="20"/>
                        </w:rPr>
                        <w:t>.</w:t>
                      </w:r>
                    </w:p>
                    <w:p w14:paraId="15A9EF14" w14:textId="77777777" w:rsidR="00F47592" w:rsidRPr="003E09CC" w:rsidRDefault="00F47592" w:rsidP="00F47592">
                      <w:pPr>
                        <w:spacing w:after="0"/>
                        <w:rPr>
                          <w:sz w:val="20"/>
                          <w:szCs w:val="20"/>
                        </w:rPr>
                      </w:pPr>
                      <w:r w:rsidRPr="003E09CC">
                        <w:rPr>
                          <w:sz w:val="20"/>
                          <w:szCs w:val="20"/>
                        </w:rPr>
                        <w:t xml:space="preserve">Опис: Прикупљање података од </w:t>
                      </w:r>
                      <w:r w:rsidRPr="00210A9D">
                        <w:rPr>
                          <w:sz w:val="20"/>
                          <w:szCs w:val="20"/>
                        </w:rPr>
                        <w:t>_______</w:t>
                      </w:r>
                      <w:r>
                        <w:rPr>
                          <w:sz w:val="20"/>
                          <w:szCs w:val="20"/>
                        </w:rPr>
                        <w:t xml:space="preserve"> (функција, основ), ________ (име и презиме) из _________ (место), о _________ (предмет), о чему је сачињен записник/изјава предметног датума, број ______ (заводни број).</w:t>
                      </w:r>
                    </w:p>
                  </w:txbxContent>
                </v:textbox>
                <w10:wrap type="square" anchorx="margin"/>
              </v:shape>
            </w:pict>
          </mc:Fallback>
        </mc:AlternateContent>
      </w:r>
      <w:r w:rsidR="004C71B5" w:rsidRPr="001C0829">
        <w:rPr>
          <w:b/>
          <w:color w:val="ED7D31" w:themeColor="accent2"/>
        </w:rPr>
        <w:t xml:space="preserve">Пример непотпуне информације: </w:t>
      </w:r>
      <w:r>
        <w:rPr>
          <w:b/>
          <w:color w:val="ED7D31" w:themeColor="accent2"/>
        </w:rPr>
        <w:t xml:space="preserve">                          </w:t>
      </w:r>
    </w:p>
    <w:p w14:paraId="419285DD" w14:textId="22912D30" w:rsidR="00F47592" w:rsidRDefault="001C0829" w:rsidP="00F47592">
      <w:r w:rsidRPr="00210A9D">
        <w:rPr>
          <w:b/>
          <w:noProof/>
          <w:color w:val="FFC000"/>
          <w:lang w:val="en-US"/>
        </w:rPr>
        <mc:AlternateContent>
          <mc:Choice Requires="wps">
            <w:drawing>
              <wp:anchor distT="45720" distB="45720" distL="114300" distR="114300" simplePos="0" relativeHeight="251711488" behindDoc="0" locked="0" layoutInCell="1" allowOverlap="1" wp14:anchorId="6C79BF0B" wp14:editId="07F20FAC">
                <wp:simplePos x="0" y="0"/>
                <wp:positionH relativeFrom="margin">
                  <wp:align>left</wp:align>
                </wp:positionH>
                <wp:positionV relativeFrom="paragraph">
                  <wp:posOffset>274320</wp:posOffset>
                </wp:positionV>
                <wp:extent cx="2809875" cy="1404620"/>
                <wp:effectExtent l="0" t="0" r="28575" b="1968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404620"/>
                        </a:xfrm>
                        <a:prstGeom prst="rect">
                          <a:avLst/>
                        </a:prstGeom>
                        <a:solidFill>
                          <a:srgbClr val="FFFFFF"/>
                        </a:solidFill>
                        <a:ln w="9525">
                          <a:solidFill>
                            <a:srgbClr val="000000"/>
                          </a:solidFill>
                          <a:miter lim="800000"/>
                          <a:headEnd/>
                          <a:tailEnd/>
                        </a:ln>
                      </wps:spPr>
                      <wps:txbx>
                        <w:txbxContent>
                          <w:p w14:paraId="33459F4B" w14:textId="77777777" w:rsidR="00F47592" w:rsidRPr="003E09CC" w:rsidRDefault="00F47592" w:rsidP="00F47592">
                            <w:pPr>
                              <w:spacing w:after="0"/>
                              <w:rPr>
                                <w:b/>
                                <w:sz w:val="20"/>
                                <w:szCs w:val="20"/>
                              </w:rPr>
                            </w:pPr>
                            <w:r w:rsidRPr="003E09CC">
                              <w:rPr>
                                <w:b/>
                                <w:sz w:val="20"/>
                                <w:szCs w:val="20"/>
                              </w:rPr>
                              <w:t>Прикупљање информација - интерни извори</w:t>
                            </w:r>
                          </w:p>
                          <w:p w14:paraId="10FCCF99" w14:textId="77777777" w:rsidR="00F47592" w:rsidRPr="003E09CC" w:rsidRDefault="00F47592" w:rsidP="00F47592">
                            <w:pPr>
                              <w:spacing w:after="0"/>
                              <w:rPr>
                                <w:sz w:val="20"/>
                                <w:szCs w:val="20"/>
                              </w:rPr>
                            </w:pPr>
                            <w:r w:rsidRPr="003E09CC">
                              <w:rPr>
                                <w:sz w:val="20"/>
                                <w:szCs w:val="20"/>
                              </w:rPr>
                              <w:t>Врста активности: Почетна активност</w:t>
                            </w:r>
                          </w:p>
                          <w:p w14:paraId="4DB4E1C5" w14:textId="736C8661" w:rsidR="00F47592" w:rsidRPr="003E09CC" w:rsidRDefault="00F47592" w:rsidP="00F47592">
                            <w:pPr>
                              <w:spacing w:after="0"/>
                              <w:rPr>
                                <w:sz w:val="20"/>
                                <w:szCs w:val="20"/>
                              </w:rPr>
                            </w:pPr>
                            <w:r w:rsidRPr="003E09CC">
                              <w:rPr>
                                <w:sz w:val="20"/>
                                <w:szCs w:val="20"/>
                              </w:rPr>
                              <w:t>Датум почетка: 18.11.201</w:t>
                            </w:r>
                            <w:r w:rsidR="001C0829">
                              <w:rPr>
                                <w:sz w:val="20"/>
                                <w:szCs w:val="20"/>
                              </w:rPr>
                              <w:t>7</w:t>
                            </w:r>
                            <w:r w:rsidRPr="003E09CC">
                              <w:rPr>
                                <w:sz w:val="20"/>
                                <w:szCs w:val="20"/>
                              </w:rPr>
                              <w:t>.</w:t>
                            </w:r>
                          </w:p>
                          <w:p w14:paraId="2F461D75" w14:textId="41BD7136" w:rsidR="00F47592" w:rsidRPr="003E09CC" w:rsidRDefault="00F47592" w:rsidP="00F47592">
                            <w:pPr>
                              <w:spacing w:after="0"/>
                              <w:rPr>
                                <w:sz w:val="20"/>
                                <w:szCs w:val="20"/>
                              </w:rPr>
                            </w:pPr>
                            <w:r w:rsidRPr="003E09CC">
                              <w:rPr>
                                <w:sz w:val="20"/>
                                <w:szCs w:val="20"/>
                              </w:rPr>
                              <w:t>Датум завршетка: 21.11.201</w:t>
                            </w:r>
                            <w:r w:rsidR="001C0829">
                              <w:rPr>
                                <w:sz w:val="20"/>
                                <w:szCs w:val="20"/>
                              </w:rPr>
                              <w:t>7</w:t>
                            </w:r>
                            <w:r w:rsidRPr="003E09CC">
                              <w:rPr>
                                <w:sz w:val="20"/>
                                <w:szCs w:val="20"/>
                              </w:rPr>
                              <w:t>.</w:t>
                            </w:r>
                          </w:p>
                          <w:p w14:paraId="2FE4D1A5" w14:textId="77777777" w:rsidR="00F47592" w:rsidRPr="00BC551A" w:rsidRDefault="00F47592" w:rsidP="00F47592">
                            <w:pPr>
                              <w:spacing w:after="0"/>
                              <w:rPr>
                                <w:sz w:val="20"/>
                                <w:szCs w:val="20"/>
                              </w:rPr>
                            </w:pPr>
                            <w:r w:rsidRPr="003E09CC">
                              <w:rPr>
                                <w:sz w:val="20"/>
                                <w:szCs w:val="20"/>
                              </w:rPr>
                              <w:t>Опис: Прикупљање података од директора стечајног дужника.</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6C79BF0B" id="_x0000_s1028" type="#_x0000_t202" style="position:absolute;margin-left:0;margin-top:21.6pt;width:221.25pt;height:110.6pt;z-index:251711488;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3rFSJgIAAEwEAAAOAAAAZHJzL2Uyb0RvYy54bWysVNtu2zAMfR+wfxD0vtgJkjYx4hRdugwD&#10;ugvQ7gNoWY6FyaImKbG7rx8lp1nQbS/D/CCIInVEnkN6fTN0mh2l8wpNyaeTnDNpBNbK7Ev+9XH3&#10;ZsmZD2Bq0GhkyZ+k5zeb16/WvS3kDFvUtXSMQIwvelvyNgRbZJkXrezAT9BKQ84GXQeBTLfPagc9&#10;oXc6m+X5Vdajq61DIb2n07vRyTcJv2mkCJ+bxsvAdMkpt5BWl9YqrtlmDcXegW2VOKUB/5BFB8rQ&#10;o2eoOwjADk79BtUp4dBjEyYCuwybRgmZaqBqpvmLah5asDLVQuR4e6bJ/z9Y8en4xTFVl3zFmYGO&#10;JHqUQ2BvcWCzyE5vfUFBD5bCwkDHpHKq1Nt7FN88M7htwezlrXPYtxJqym4ab2YXV0ccH0Gq/iPW&#10;9AwcAiagoXFdpI7IYIROKj2dlYmpCDqcLfPV8nrBmSDfdJ7Pr2ZJuwyK5+vW+fBeYsfipuSOpE/w&#10;cLz3IaYDxXNIfM2jVvVOaZ0Mt6+22rEjUJvs0pcqeBGmDeuJqMVsMTLwV4g8fX+C6FSgfteqK/ny&#10;HARF5O2dqVM3BlB63FPK2pyIjNyNLIahGpJiZ30qrJ+IWYdje9M40qZF94Oznlq75P77AZzkTH8w&#10;pM5qOp/HWUjGfHFNVDJ36akuPWAEQZU8cDZutyHNT+LN3pKKO5X4jXKPmZxSppZNtJ/GK87EpZ2i&#10;fv0ENj8BAAD//wMAUEsDBBQABgAIAAAAIQDcIfCG3AAAAAcBAAAPAAAAZHJzL2Rvd25yZXYueG1s&#10;TI/BTsMwEETvSPyDtUhcKuqQJhFKs6mgUk+cGsrdjbdJRLwOttumf485wXE0o5k31WY2o7iQ84Nl&#10;hOdlAoK4tXrgDuHwsXt6AeGDYq1Gy4RwIw+b+v6uUqW2V97TpQmdiCXsS4XQhzCVUvq2J6P80k7E&#10;0TtZZ1SI0nVSO3WN5WaUaZIU0qiB40KvJtr21H41Z4NQfDerxfunXvD+tntzrcn19pAjPj7Mr2sQ&#10;gebwF4Zf/IgOdWQ62jNrL0aEeCQgZKsURHSzLM1BHBHSIstA1pX8z1//AAAA//8DAFBLAQItABQA&#10;BgAIAAAAIQC2gziS/gAAAOEBAAATAAAAAAAAAAAAAAAAAAAAAABbQ29udGVudF9UeXBlc10ueG1s&#10;UEsBAi0AFAAGAAgAAAAhADj9If/WAAAAlAEAAAsAAAAAAAAAAAAAAAAALwEAAF9yZWxzLy5yZWxz&#10;UEsBAi0AFAAGAAgAAAAhAKjesVImAgAATAQAAA4AAAAAAAAAAAAAAAAALgIAAGRycy9lMm9Eb2Mu&#10;eG1sUEsBAi0AFAAGAAgAAAAhANwh8IbcAAAABwEAAA8AAAAAAAAAAAAAAAAAgAQAAGRycy9kb3du&#10;cmV2LnhtbFBLBQYAAAAABAAEAPMAAACJBQAAAAA=&#10;">
                <v:textbox style="mso-fit-shape-to-text:t">
                  <w:txbxContent>
                    <w:p w14:paraId="33459F4B" w14:textId="77777777" w:rsidR="00F47592" w:rsidRPr="003E09CC" w:rsidRDefault="00F47592" w:rsidP="00F47592">
                      <w:pPr>
                        <w:spacing w:after="0"/>
                        <w:rPr>
                          <w:b/>
                          <w:sz w:val="20"/>
                          <w:szCs w:val="20"/>
                        </w:rPr>
                      </w:pPr>
                      <w:r w:rsidRPr="003E09CC">
                        <w:rPr>
                          <w:b/>
                          <w:sz w:val="20"/>
                          <w:szCs w:val="20"/>
                        </w:rPr>
                        <w:t>Прикупљање информација - интерни извори</w:t>
                      </w:r>
                    </w:p>
                    <w:p w14:paraId="10FCCF99" w14:textId="77777777" w:rsidR="00F47592" w:rsidRPr="003E09CC" w:rsidRDefault="00F47592" w:rsidP="00F47592">
                      <w:pPr>
                        <w:spacing w:after="0"/>
                        <w:rPr>
                          <w:sz w:val="20"/>
                          <w:szCs w:val="20"/>
                        </w:rPr>
                      </w:pPr>
                      <w:r w:rsidRPr="003E09CC">
                        <w:rPr>
                          <w:sz w:val="20"/>
                          <w:szCs w:val="20"/>
                        </w:rPr>
                        <w:t>Врста активности: Почетна активност</w:t>
                      </w:r>
                    </w:p>
                    <w:p w14:paraId="4DB4E1C5" w14:textId="736C8661" w:rsidR="00F47592" w:rsidRPr="003E09CC" w:rsidRDefault="00F47592" w:rsidP="00F47592">
                      <w:pPr>
                        <w:spacing w:after="0"/>
                        <w:rPr>
                          <w:sz w:val="20"/>
                          <w:szCs w:val="20"/>
                        </w:rPr>
                      </w:pPr>
                      <w:r w:rsidRPr="003E09CC">
                        <w:rPr>
                          <w:sz w:val="20"/>
                          <w:szCs w:val="20"/>
                        </w:rPr>
                        <w:t>Датум почетка: 18.11.201</w:t>
                      </w:r>
                      <w:r w:rsidR="001C0829">
                        <w:rPr>
                          <w:sz w:val="20"/>
                          <w:szCs w:val="20"/>
                        </w:rPr>
                        <w:t>7</w:t>
                      </w:r>
                      <w:r w:rsidRPr="003E09CC">
                        <w:rPr>
                          <w:sz w:val="20"/>
                          <w:szCs w:val="20"/>
                        </w:rPr>
                        <w:t>.</w:t>
                      </w:r>
                    </w:p>
                    <w:p w14:paraId="2F461D75" w14:textId="41BD7136" w:rsidR="00F47592" w:rsidRPr="003E09CC" w:rsidRDefault="00F47592" w:rsidP="00F47592">
                      <w:pPr>
                        <w:spacing w:after="0"/>
                        <w:rPr>
                          <w:sz w:val="20"/>
                          <w:szCs w:val="20"/>
                        </w:rPr>
                      </w:pPr>
                      <w:r w:rsidRPr="003E09CC">
                        <w:rPr>
                          <w:sz w:val="20"/>
                          <w:szCs w:val="20"/>
                        </w:rPr>
                        <w:t>Датум завршетка: 21.11.201</w:t>
                      </w:r>
                      <w:r w:rsidR="001C0829">
                        <w:rPr>
                          <w:sz w:val="20"/>
                          <w:szCs w:val="20"/>
                        </w:rPr>
                        <w:t>7</w:t>
                      </w:r>
                      <w:r w:rsidRPr="003E09CC">
                        <w:rPr>
                          <w:sz w:val="20"/>
                          <w:szCs w:val="20"/>
                        </w:rPr>
                        <w:t>.</w:t>
                      </w:r>
                    </w:p>
                    <w:p w14:paraId="2FE4D1A5" w14:textId="77777777" w:rsidR="00F47592" w:rsidRPr="00BC551A" w:rsidRDefault="00F47592" w:rsidP="00F47592">
                      <w:pPr>
                        <w:spacing w:after="0"/>
                        <w:rPr>
                          <w:sz w:val="20"/>
                          <w:szCs w:val="20"/>
                        </w:rPr>
                      </w:pPr>
                      <w:r w:rsidRPr="003E09CC">
                        <w:rPr>
                          <w:sz w:val="20"/>
                          <w:szCs w:val="20"/>
                        </w:rPr>
                        <w:t>Опис: Прикупљање података од директора стечајног дужника.</w:t>
                      </w:r>
                    </w:p>
                  </w:txbxContent>
                </v:textbox>
                <w10:wrap type="square" anchorx="margin"/>
              </v:shape>
            </w:pict>
          </mc:Fallback>
        </mc:AlternateContent>
      </w:r>
    </w:p>
    <w:tbl>
      <w:tblPr>
        <w:tblStyle w:val="GridTable1Light-Accent4"/>
        <w:tblW w:w="5000" w:type="pct"/>
        <w:tblLook w:val="04A0" w:firstRow="1" w:lastRow="0" w:firstColumn="1" w:lastColumn="0" w:noHBand="0" w:noVBand="1"/>
      </w:tblPr>
      <w:tblGrid>
        <w:gridCol w:w="2828"/>
        <w:gridCol w:w="6568"/>
      </w:tblGrid>
      <w:tr w:rsidR="00515600" w:rsidRPr="008E6586" w14:paraId="15E91386" w14:textId="77777777" w:rsidTr="00AB774A">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5" w:type="pct"/>
            <w:tcBorders>
              <w:bottom w:val="single" w:sz="4" w:space="0" w:color="FFE599" w:themeColor="accent4" w:themeTint="66"/>
            </w:tcBorders>
            <w:vAlign w:val="center"/>
          </w:tcPr>
          <w:p w14:paraId="0EB1A2D2" w14:textId="5DF75290" w:rsidR="00515600" w:rsidRDefault="00515600" w:rsidP="007C298B">
            <w:r>
              <w:lastRenderedPageBreak/>
              <w:t>Имовина</w:t>
            </w:r>
          </w:p>
        </w:tc>
        <w:tc>
          <w:tcPr>
            <w:tcW w:w="3495" w:type="pct"/>
            <w:tcBorders>
              <w:bottom w:val="single" w:sz="4" w:space="0" w:color="FFE599" w:themeColor="accent4" w:themeTint="66"/>
            </w:tcBorders>
            <w:vAlign w:val="center"/>
          </w:tcPr>
          <w:p w14:paraId="749E1DF5" w14:textId="77777777" w:rsidR="00AB774A" w:rsidRDefault="00AB774A" w:rsidP="00AB774A">
            <w:pPr>
              <w:cnfStyle w:val="100000000000" w:firstRow="1" w:lastRow="0" w:firstColumn="0" w:lastColumn="0" w:oddVBand="0" w:evenVBand="0" w:oddHBand="0" w:evenHBand="0" w:firstRowFirstColumn="0" w:firstRowLastColumn="0" w:lastRowFirstColumn="0" w:lastRowLastColumn="0"/>
              <w:rPr>
                <w:b w:val="0"/>
              </w:rPr>
            </w:pPr>
          </w:p>
          <w:p w14:paraId="0B00F727" w14:textId="7BCC87A3" w:rsidR="00515600" w:rsidRPr="00515600" w:rsidRDefault="00515600" w:rsidP="00AB774A">
            <w:pPr>
              <w:cnfStyle w:val="100000000000" w:firstRow="1" w:lastRow="0" w:firstColumn="0" w:lastColumn="0" w:oddVBand="0" w:evenVBand="0" w:oddHBand="0" w:evenHBand="0" w:firstRowFirstColumn="0" w:firstRowLastColumn="0" w:lastRowFirstColumn="0" w:lastRowLastColumn="0"/>
              <w:rPr>
                <w:b w:val="0"/>
              </w:rPr>
            </w:pPr>
            <w:r w:rsidRPr="00515600">
              <w:rPr>
                <w:b w:val="0"/>
              </w:rPr>
              <w:t xml:space="preserve">Подаци о имовини представљају </w:t>
            </w:r>
            <w:r w:rsidRPr="003356B8">
              <w:rPr>
                <w:b w:val="0"/>
                <w:color w:val="ED7D31" w:themeColor="accent2"/>
              </w:rPr>
              <w:t>најзначајнији део ЕФИ-ја</w:t>
            </w:r>
            <w:r w:rsidRPr="00515600">
              <w:rPr>
                <w:b w:val="0"/>
              </w:rPr>
              <w:t xml:space="preserve">, из ког разлога </w:t>
            </w:r>
            <w:r w:rsidR="007364E4">
              <w:rPr>
                <w:b w:val="0"/>
              </w:rPr>
              <w:t xml:space="preserve">је значајно да </w:t>
            </w:r>
            <w:r w:rsidR="007364E4" w:rsidRPr="00515600">
              <w:rPr>
                <w:b w:val="0"/>
              </w:rPr>
              <w:t xml:space="preserve">подаци у табелама </w:t>
            </w:r>
            <w:r w:rsidR="00862091">
              <w:rPr>
                <w:b w:val="0"/>
              </w:rPr>
              <w:t>буду употпуњени са одговарајућим</w:t>
            </w:r>
            <w:r w:rsidRPr="00515600">
              <w:rPr>
                <w:b w:val="0"/>
              </w:rPr>
              <w:t xml:space="preserve"> коментарима.</w:t>
            </w:r>
          </w:p>
          <w:p w14:paraId="66749EC9" w14:textId="77777777" w:rsidR="00515600" w:rsidRDefault="00515600" w:rsidP="00AB774A">
            <w:pPr>
              <w:cnfStyle w:val="100000000000" w:firstRow="1" w:lastRow="0" w:firstColumn="0" w:lastColumn="0" w:oddVBand="0" w:evenVBand="0" w:oddHBand="0" w:evenHBand="0" w:firstRowFirstColumn="0" w:firstRowLastColumn="0" w:lastRowFirstColumn="0" w:lastRowLastColumn="0"/>
              <w:rPr>
                <w:b w:val="0"/>
              </w:rPr>
            </w:pPr>
          </w:p>
          <w:p w14:paraId="0042697C" w14:textId="6C236F60" w:rsidR="00515600" w:rsidRDefault="00515600" w:rsidP="00AB774A">
            <w:pPr>
              <w:cnfStyle w:val="100000000000" w:firstRow="1" w:lastRow="0" w:firstColumn="0" w:lastColumn="0" w:oddVBand="0" w:evenVBand="0" w:oddHBand="0" w:evenHBand="0" w:firstRowFirstColumn="0" w:firstRowLastColumn="0" w:lastRowFirstColumn="0" w:lastRowLastColumn="0"/>
              <w:rPr>
                <w:b w:val="0"/>
              </w:rPr>
            </w:pPr>
            <w:r w:rsidRPr="00515600">
              <w:rPr>
                <w:b w:val="0"/>
              </w:rPr>
              <w:t xml:space="preserve">Неопходно је </w:t>
            </w:r>
            <w:r w:rsidR="00AB774A">
              <w:rPr>
                <w:b w:val="0"/>
              </w:rPr>
              <w:t>имовину приказану у</w:t>
            </w:r>
            <w:r w:rsidRPr="00515600">
              <w:rPr>
                <w:b w:val="0"/>
              </w:rPr>
              <w:t xml:space="preserve"> табела</w:t>
            </w:r>
            <w:r w:rsidR="00AB774A">
              <w:rPr>
                <w:b w:val="0"/>
              </w:rPr>
              <w:t>ма</w:t>
            </w:r>
            <w:r w:rsidRPr="00515600">
              <w:rPr>
                <w:b w:val="0"/>
              </w:rPr>
              <w:t xml:space="preserve"> </w:t>
            </w:r>
            <w:r w:rsidR="00862091">
              <w:rPr>
                <w:b w:val="0"/>
              </w:rPr>
              <w:t>и</w:t>
            </w:r>
            <w:r w:rsidRPr="00515600">
              <w:rPr>
                <w:b w:val="0"/>
              </w:rPr>
              <w:t xml:space="preserve"> коментарима</w:t>
            </w:r>
            <w:r w:rsidR="00AB774A">
              <w:rPr>
                <w:b w:val="0"/>
              </w:rPr>
              <w:t xml:space="preserve"> табела</w:t>
            </w:r>
            <w:r w:rsidRPr="00515600">
              <w:rPr>
                <w:b w:val="0"/>
              </w:rPr>
              <w:t xml:space="preserve"> </w:t>
            </w:r>
            <w:r w:rsidRPr="003356B8">
              <w:rPr>
                <w:b w:val="0"/>
                <w:color w:val="ED7D31" w:themeColor="accent2"/>
              </w:rPr>
              <w:t>засновати на документацији</w:t>
            </w:r>
            <w:r w:rsidR="00AB774A">
              <w:rPr>
                <w:rStyle w:val="FootnoteReference"/>
                <w:b w:val="0"/>
              </w:rPr>
              <w:footnoteReference w:id="3"/>
            </w:r>
            <w:r w:rsidRPr="00515600">
              <w:rPr>
                <w:b w:val="0"/>
              </w:rPr>
              <w:t xml:space="preserve"> по основу које је имовина уне</w:t>
            </w:r>
            <w:r w:rsidR="00862091">
              <w:rPr>
                <w:b w:val="0"/>
              </w:rPr>
              <w:t>та у стечајну масу и вреднована</w:t>
            </w:r>
            <w:r w:rsidRPr="00515600">
              <w:rPr>
                <w:b w:val="0"/>
              </w:rPr>
              <w:t xml:space="preserve"> и допунити осталим битним подацима о конкретној имовини. </w:t>
            </w:r>
          </w:p>
          <w:p w14:paraId="7C4478D0" w14:textId="77777777" w:rsidR="003356B8" w:rsidRDefault="003356B8" w:rsidP="00AB774A">
            <w:pPr>
              <w:cnfStyle w:val="100000000000" w:firstRow="1" w:lastRow="0" w:firstColumn="0" w:lastColumn="0" w:oddVBand="0" w:evenVBand="0" w:oddHBand="0" w:evenHBand="0" w:firstRowFirstColumn="0" w:firstRowLastColumn="0" w:lastRowFirstColumn="0" w:lastRowLastColumn="0"/>
              <w:rPr>
                <w:b w:val="0"/>
              </w:rPr>
            </w:pPr>
          </w:p>
          <w:p w14:paraId="630BF95D" w14:textId="4D84D74D" w:rsidR="003356B8" w:rsidRPr="00515600" w:rsidRDefault="003356B8" w:rsidP="00AB774A">
            <w:pPr>
              <w:cnfStyle w:val="100000000000" w:firstRow="1" w:lastRow="0" w:firstColumn="0" w:lastColumn="0" w:oddVBand="0" w:evenVBand="0" w:oddHBand="0" w:evenHBand="0" w:firstRowFirstColumn="0" w:firstRowLastColumn="0" w:lastRowFirstColumn="0" w:lastRowLastColumn="0"/>
              <w:rPr>
                <w:b w:val="0"/>
              </w:rPr>
            </w:pPr>
            <w:r w:rsidRPr="003356B8">
              <w:rPr>
                <w:b w:val="0"/>
              </w:rPr>
              <w:t>Резултати надзора супервизора Агенције (преузимање дужности, примопредаја, коресподенција са повериоцима и трећим лицима, попис, процена - активности и документација) показали су да стечајни управници (у периоду до израде ЕФИ-ја) често располажу са више информација о имовини стечајног дужника него што то имају документовано или што је приказано у ЕФИ-ју, што представља неправилност у раду.</w:t>
            </w:r>
          </w:p>
          <w:p w14:paraId="4FC00E15" w14:textId="1F190658" w:rsidR="00515600" w:rsidRPr="008E6586" w:rsidRDefault="00515600" w:rsidP="00AB774A">
            <w:pPr>
              <w:cnfStyle w:val="100000000000" w:firstRow="1" w:lastRow="0" w:firstColumn="0" w:lastColumn="0" w:oddVBand="0" w:evenVBand="0" w:oddHBand="0" w:evenHBand="0" w:firstRowFirstColumn="0" w:firstRowLastColumn="0" w:lastRowFirstColumn="0" w:lastRowLastColumn="0"/>
            </w:pPr>
          </w:p>
        </w:tc>
      </w:tr>
      <w:tr w:rsidR="00515600" w14:paraId="3AF333DA" w14:textId="77777777" w:rsidTr="00AB774A">
        <w:tc>
          <w:tcPr>
            <w:cnfStyle w:val="001000000000" w:firstRow="0" w:lastRow="0" w:firstColumn="1" w:lastColumn="0" w:oddVBand="0" w:evenVBand="0" w:oddHBand="0" w:evenHBand="0" w:firstRowFirstColumn="0" w:firstRowLastColumn="0" w:lastRowFirstColumn="0" w:lastRowLastColumn="0"/>
            <w:tcW w:w="1505" w:type="pct"/>
            <w:tcBorders>
              <w:top w:val="single" w:sz="4" w:space="0" w:color="FFE599" w:themeColor="accent4" w:themeTint="66"/>
              <w:bottom w:val="single" w:sz="4" w:space="0" w:color="FFE599" w:themeColor="accent4" w:themeTint="66"/>
            </w:tcBorders>
            <w:vAlign w:val="center"/>
          </w:tcPr>
          <w:p w14:paraId="299EB1A1" w14:textId="5FF7624B" w:rsidR="00515600" w:rsidRDefault="00AB774A" w:rsidP="007C298B">
            <w:r>
              <w:t>Врсте имовине</w:t>
            </w:r>
          </w:p>
        </w:tc>
        <w:tc>
          <w:tcPr>
            <w:tcW w:w="3495" w:type="pct"/>
            <w:tcBorders>
              <w:top w:val="single" w:sz="4" w:space="0" w:color="FFE599" w:themeColor="accent4" w:themeTint="66"/>
              <w:bottom w:val="single" w:sz="4" w:space="0" w:color="FFE599" w:themeColor="accent4" w:themeTint="66"/>
            </w:tcBorders>
            <w:vAlign w:val="center"/>
          </w:tcPr>
          <w:p w14:paraId="70F04573" w14:textId="77777777" w:rsidR="00AB774A" w:rsidRDefault="00AB774A" w:rsidP="00AB774A">
            <w:pPr>
              <w:cnfStyle w:val="000000000000" w:firstRow="0" w:lastRow="0" w:firstColumn="0" w:lastColumn="0" w:oddVBand="0" w:evenVBand="0" w:oddHBand="0" w:evenHBand="0" w:firstRowFirstColumn="0" w:firstRowLastColumn="0" w:lastRowFirstColumn="0" w:lastRowLastColumn="0"/>
              <w:rPr>
                <w:b/>
              </w:rPr>
            </w:pPr>
          </w:p>
          <w:p w14:paraId="10B7EAD7" w14:textId="77777777" w:rsidR="00AB774A" w:rsidRDefault="00AB774A" w:rsidP="00AB774A">
            <w:pPr>
              <w:cnfStyle w:val="000000000000" w:firstRow="0" w:lastRow="0" w:firstColumn="0" w:lastColumn="0" w:oddVBand="0" w:evenVBand="0" w:oddHBand="0" w:evenHBand="0" w:firstRowFirstColumn="0" w:firstRowLastColumn="0" w:lastRowFirstColumn="0" w:lastRowLastColumn="0"/>
            </w:pPr>
            <w:r w:rsidRPr="00AB774A">
              <w:t>Имовина је у ЕФИ-ју подељена по врстама</w:t>
            </w:r>
            <w:r>
              <w:t xml:space="preserve"> од којих свака има своје специфичности, а које би требало навести у табелама и пољима за коментар. </w:t>
            </w:r>
          </w:p>
          <w:p w14:paraId="4CA539F3" w14:textId="77777777" w:rsidR="00AB774A" w:rsidRDefault="00AB774A" w:rsidP="00AB774A">
            <w:pPr>
              <w:cnfStyle w:val="000000000000" w:firstRow="0" w:lastRow="0" w:firstColumn="0" w:lastColumn="0" w:oddVBand="0" w:evenVBand="0" w:oddHBand="0" w:evenHBand="0" w:firstRowFirstColumn="0" w:firstRowLastColumn="0" w:lastRowFirstColumn="0" w:lastRowLastColumn="0"/>
            </w:pPr>
          </w:p>
          <w:p w14:paraId="7AB8F5F8" w14:textId="77777777" w:rsidR="00AB774A" w:rsidRDefault="00AB774A" w:rsidP="00AB774A">
            <w:pPr>
              <w:cnfStyle w:val="000000000000" w:firstRow="0" w:lastRow="0" w:firstColumn="0" w:lastColumn="0" w:oddVBand="0" w:evenVBand="0" w:oddHBand="0" w:evenHBand="0" w:firstRowFirstColumn="0" w:firstRowLastColumn="0" w:lastRowFirstColumn="0" w:lastRowLastColumn="0"/>
            </w:pPr>
            <w:r>
              <w:t xml:space="preserve">С тим у вези, потребно је већ приликом израде ЕФИ-ја у потпуности </w:t>
            </w:r>
            <w:r w:rsidRPr="003356B8">
              <w:rPr>
                <w:color w:val="ED7D31" w:themeColor="accent2"/>
              </w:rPr>
              <w:t>дефинисати припадност конкретној врсти</w:t>
            </w:r>
            <w:r>
              <w:t>, како се не би дешавало да се у току поступка мења врста имовине</w:t>
            </w:r>
            <w:r>
              <w:rPr>
                <w:lang w:val="sr-Latn-RS"/>
              </w:rPr>
              <w:t xml:space="preserve"> (</w:t>
            </w:r>
            <w:r>
              <w:t>најчешће залихе - опрема</w:t>
            </w:r>
            <w:r>
              <w:rPr>
                <w:lang w:val="sr-Latn-RS"/>
              </w:rPr>
              <w:t>)</w:t>
            </w:r>
            <w:r>
              <w:t xml:space="preserve">. </w:t>
            </w:r>
          </w:p>
          <w:p w14:paraId="0133CAAE" w14:textId="77777777" w:rsidR="00515600" w:rsidRDefault="00515600" w:rsidP="00AB774A">
            <w:pPr>
              <w:cnfStyle w:val="000000000000" w:firstRow="0" w:lastRow="0" w:firstColumn="0" w:lastColumn="0" w:oddVBand="0" w:evenVBand="0" w:oddHBand="0" w:evenHBand="0" w:firstRowFirstColumn="0" w:firstRowLastColumn="0" w:lastRowFirstColumn="0" w:lastRowLastColumn="0"/>
            </w:pPr>
          </w:p>
        </w:tc>
      </w:tr>
      <w:tr w:rsidR="00AB774A" w14:paraId="781F104E" w14:textId="77777777" w:rsidTr="005671B4">
        <w:tc>
          <w:tcPr>
            <w:cnfStyle w:val="001000000000" w:firstRow="0" w:lastRow="0" w:firstColumn="1" w:lastColumn="0" w:oddVBand="0" w:evenVBand="0" w:oddHBand="0" w:evenHBand="0" w:firstRowFirstColumn="0" w:firstRowLastColumn="0" w:lastRowFirstColumn="0" w:lastRowLastColumn="0"/>
            <w:tcW w:w="1505" w:type="pct"/>
            <w:tcBorders>
              <w:top w:val="single" w:sz="4" w:space="0" w:color="FFE599" w:themeColor="accent4" w:themeTint="66"/>
              <w:bottom w:val="single" w:sz="4" w:space="0" w:color="FFE599" w:themeColor="accent4" w:themeTint="66"/>
            </w:tcBorders>
            <w:vAlign w:val="center"/>
          </w:tcPr>
          <w:p w14:paraId="62FE31BA" w14:textId="5043B27A" w:rsidR="00AB774A" w:rsidRDefault="005671B4" w:rsidP="007C298B">
            <w:r>
              <w:t>Унос имовине</w:t>
            </w:r>
          </w:p>
        </w:tc>
        <w:tc>
          <w:tcPr>
            <w:tcW w:w="3495" w:type="pct"/>
            <w:tcBorders>
              <w:top w:val="single" w:sz="4" w:space="0" w:color="FFE599" w:themeColor="accent4" w:themeTint="66"/>
              <w:bottom w:val="single" w:sz="4" w:space="0" w:color="FFE599" w:themeColor="accent4" w:themeTint="66"/>
            </w:tcBorders>
            <w:vAlign w:val="center"/>
          </w:tcPr>
          <w:p w14:paraId="05DEB29E" w14:textId="77777777" w:rsidR="005671B4" w:rsidRDefault="005671B4" w:rsidP="005671B4">
            <w:pPr>
              <w:cnfStyle w:val="000000000000" w:firstRow="0" w:lastRow="0" w:firstColumn="0" w:lastColumn="0" w:oddVBand="0" w:evenVBand="0" w:oddHBand="0" w:evenHBand="0" w:firstRowFirstColumn="0" w:firstRowLastColumn="0" w:lastRowFirstColumn="0" w:lastRowLastColumn="0"/>
            </w:pPr>
          </w:p>
          <w:p w14:paraId="4B771B35" w14:textId="77777777" w:rsidR="005671B4" w:rsidRDefault="005671B4" w:rsidP="005671B4">
            <w:pPr>
              <w:cnfStyle w:val="000000000000" w:firstRow="0" w:lastRow="0" w:firstColumn="0" w:lastColumn="0" w:oddVBand="0" w:evenVBand="0" w:oddHBand="0" w:evenHBand="0" w:firstRowFirstColumn="0" w:firstRowLastColumn="0" w:lastRowFirstColumn="0" w:lastRowLastColumn="0"/>
            </w:pPr>
            <w:r>
              <w:t xml:space="preserve">Потребно је </w:t>
            </w:r>
            <w:r w:rsidRPr="003356B8">
              <w:rPr>
                <w:color w:val="ED7D31" w:themeColor="accent2"/>
              </w:rPr>
              <w:t xml:space="preserve">уносити имовину у табелама појединачно </w:t>
            </w:r>
            <w:r>
              <w:t xml:space="preserve">и </w:t>
            </w:r>
            <w:r w:rsidRPr="008E2159">
              <w:rPr>
                <w:color w:val="ED7D31" w:themeColor="accent2"/>
              </w:rPr>
              <w:t>према називима из пописних листа</w:t>
            </w:r>
            <w:r>
              <w:t xml:space="preserve">. </w:t>
            </w:r>
          </w:p>
          <w:p w14:paraId="5E69A2E9" w14:textId="77777777" w:rsidR="005671B4" w:rsidRDefault="005671B4" w:rsidP="005671B4">
            <w:pPr>
              <w:cnfStyle w:val="000000000000" w:firstRow="0" w:lastRow="0" w:firstColumn="0" w:lastColumn="0" w:oddVBand="0" w:evenVBand="0" w:oddHBand="0" w:evenHBand="0" w:firstRowFirstColumn="0" w:firstRowLastColumn="0" w:lastRowFirstColumn="0" w:lastRowLastColumn="0"/>
            </w:pPr>
          </w:p>
          <w:p w14:paraId="059024C1" w14:textId="335BA8DB" w:rsidR="005671B4" w:rsidRDefault="005671B4" w:rsidP="005671B4">
            <w:pPr>
              <w:cnfStyle w:val="000000000000" w:firstRow="0" w:lastRow="0" w:firstColumn="0" w:lastColumn="0" w:oddVBand="0" w:evenVBand="0" w:oddHBand="0" w:evenHBand="0" w:firstRowFirstColumn="0" w:firstRowLastColumn="0" w:lastRowFirstColumn="0" w:lastRowLastColumn="0"/>
            </w:pPr>
            <w:r>
              <w:t>У случају да се подаци о непокретностима у ЕФИ-ју разликују од стања у јавним књигама, у пољу за коментар је потребно дати одговарајуће образложење и планиране активности с тим у вези.</w:t>
            </w:r>
          </w:p>
          <w:p w14:paraId="12DBB604" w14:textId="77777777" w:rsidR="005671B4" w:rsidRDefault="005671B4" w:rsidP="005671B4">
            <w:pPr>
              <w:cnfStyle w:val="000000000000" w:firstRow="0" w:lastRow="0" w:firstColumn="0" w:lastColumn="0" w:oddVBand="0" w:evenVBand="0" w:oddHBand="0" w:evenHBand="0" w:firstRowFirstColumn="0" w:firstRowLastColumn="0" w:lastRowFirstColumn="0" w:lastRowLastColumn="0"/>
            </w:pPr>
          </w:p>
          <w:p w14:paraId="3954B9CB" w14:textId="2884D329" w:rsidR="005671B4" w:rsidRDefault="005671B4" w:rsidP="005671B4">
            <w:pPr>
              <w:jc w:val="both"/>
              <w:cnfStyle w:val="000000000000" w:firstRow="0" w:lastRow="0" w:firstColumn="0" w:lastColumn="0" w:oddVBand="0" w:evenVBand="0" w:oddHBand="0" w:evenHBand="0" w:firstRowFirstColumn="0" w:firstRowLastColumn="0" w:lastRowFirstColumn="0" w:lastRowLastColumn="0"/>
            </w:pPr>
            <w:r>
              <w:t>У случају да је имовина у ЕФИ унета групно, потребно је да иста претходно појединачно пописана (када је то физички могуће) и да носи исте називе у пописним листама и у ЕФИ-ју</w:t>
            </w:r>
            <w:r w:rsidR="00435D09">
              <w:rPr>
                <w:rStyle w:val="FootnoteReference"/>
              </w:rPr>
              <w:footnoteReference w:id="4"/>
            </w:r>
            <w:r>
              <w:t xml:space="preserve">. </w:t>
            </w:r>
          </w:p>
          <w:p w14:paraId="7C114B39" w14:textId="77777777" w:rsidR="005671B4" w:rsidRDefault="005671B4" w:rsidP="005671B4">
            <w:pPr>
              <w:jc w:val="both"/>
              <w:cnfStyle w:val="000000000000" w:firstRow="0" w:lastRow="0" w:firstColumn="0" w:lastColumn="0" w:oddVBand="0" w:evenVBand="0" w:oddHBand="0" w:evenHBand="0" w:firstRowFirstColumn="0" w:firstRowLastColumn="0" w:lastRowFirstColumn="0" w:lastRowLastColumn="0"/>
            </w:pPr>
          </w:p>
          <w:p w14:paraId="46834321" w14:textId="5F0E58F5" w:rsidR="005671B4" w:rsidRDefault="005671B4" w:rsidP="005671B4">
            <w:pPr>
              <w:jc w:val="both"/>
              <w:cnfStyle w:val="000000000000" w:firstRow="0" w:lastRow="0" w:firstColumn="0" w:lastColumn="0" w:oddVBand="0" w:evenVBand="0" w:oddHBand="0" w:evenHBand="0" w:firstRowFirstColumn="0" w:firstRowLastColumn="0" w:lastRowFirstColumn="0" w:lastRowLastColumn="0"/>
            </w:pPr>
            <w:r>
              <w:t>Препоручује се груписање имовине</w:t>
            </w:r>
            <w:r w:rsidR="00654C31">
              <w:t xml:space="preserve"> на начин да се у даљем току поступка иста лако може идентификовати, односно пратити.</w:t>
            </w:r>
            <w:r>
              <w:t xml:space="preserve"> </w:t>
            </w:r>
          </w:p>
          <w:p w14:paraId="4CC68D14" w14:textId="77777777" w:rsidR="00AB774A" w:rsidRDefault="00AB774A" w:rsidP="005671B4">
            <w:pPr>
              <w:cnfStyle w:val="000000000000" w:firstRow="0" w:lastRow="0" w:firstColumn="0" w:lastColumn="0" w:oddVBand="0" w:evenVBand="0" w:oddHBand="0" w:evenHBand="0" w:firstRowFirstColumn="0" w:firstRowLastColumn="0" w:lastRowFirstColumn="0" w:lastRowLastColumn="0"/>
            </w:pPr>
          </w:p>
        </w:tc>
      </w:tr>
    </w:tbl>
    <w:p w14:paraId="2F33C384" w14:textId="059B6E7D" w:rsidR="00F47592" w:rsidRPr="00433CDA" w:rsidRDefault="00043014" w:rsidP="00F47592">
      <w:pPr>
        <w:ind w:left="720"/>
        <w:jc w:val="both"/>
        <w:rPr>
          <w:rFonts w:cstheme="minorHAnsi"/>
          <w:i/>
          <w:color w:val="FF0000"/>
          <w:sz w:val="21"/>
          <w:szCs w:val="21"/>
          <w:u w:val="single"/>
        </w:rPr>
      </w:pPr>
      <w:r>
        <w:rPr>
          <w:rFonts w:cstheme="minorHAnsi"/>
          <w:i/>
          <w:color w:val="FF0000"/>
          <w:sz w:val="21"/>
          <w:szCs w:val="21"/>
          <w:u w:val="single"/>
        </w:rPr>
        <w:lastRenderedPageBreak/>
        <w:t>Надзор</w:t>
      </w:r>
      <w:r w:rsidR="00F47592">
        <w:rPr>
          <w:rFonts w:cstheme="minorHAnsi"/>
          <w:i/>
          <w:color w:val="FF0000"/>
          <w:sz w:val="21"/>
          <w:szCs w:val="21"/>
          <w:u w:val="single"/>
        </w:rPr>
        <w:t xml:space="preserve"> - пример</w:t>
      </w:r>
    </w:p>
    <w:p w14:paraId="6FE06948" w14:textId="77777777" w:rsidR="00F47592" w:rsidRDefault="00F47592" w:rsidP="00F47592">
      <w:pPr>
        <w:ind w:left="720"/>
        <w:jc w:val="both"/>
        <w:rPr>
          <w:rFonts w:cstheme="minorHAnsi"/>
          <w:i/>
          <w:color w:val="FF0000"/>
          <w:sz w:val="21"/>
          <w:szCs w:val="21"/>
        </w:rPr>
      </w:pPr>
      <w:r>
        <w:rPr>
          <w:rFonts w:cstheme="minorHAnsi"/>
          <w:i/>
          <w:color w:val="FF0000"/>
          <w:sz w:val="21"/>
          <w:szCs w:val="21"/>
        </w:rPr>
        <w:t>...</w:t>
      </w:r>
      <w:r w:rsidRPr="00253F9F">
        <w:rPr>
          <w:rFonts w:cstheme="minorHAnsi"/>
          <w:i/>
          <w:color w:val="FF0000"/>
          <w:sz w:val="21"/>
          <w:szCs w:val="21"/>
        </w:rPr>
        <w:t xml:space="preserve">у циљу утврђивања да ли је стечајни управник унео сву имовину из пописних листа у ЕФИ, супервизор је методом случајног избора изабрао да изврши проверу залиха стечајног дужника. Поређењем пописне листе под називом Магацин репроматеријала </w:t>
      </w:r>
      <w:r>
        <w:rPr>
          <w:rFonts w:cstheme="minorHAnsi"/>
          <w:i/>
          <w:color w:val="FF0000"/>
          <w:sz w:val="21"/>
          <w:szCs w:val="21"/>
        </w:rPr>
        <w:t>(број, датум)</w:t>
      </w:r>
      <w:r w:rsidRPr="00253F9F">
        <w:rPr>
          <w:rFonts w:cstheme="minorHAnsi"/>
          <w:i/>
          <w:color w:val="FF0000"/>
          <w:sz w:val="21"/>
          <w:szCs w:val="21"/>
        </w:rPr>
        <w:t>, која с</w:t>
      </w:r>
      <w:r>
        <w:rPr>
          <w:rFonts w:cstheme="minorHAnsi"/>
          <w:i/>
          <w:color w:val="FF0000"/>
          <w:sz w:val="21"/>
          <w:szCs w:val="21"/>
        </w:rPr>
        <w:t xml:space="preserve">адржи залихе стечајног дужника, и то: </w:t>
      </w:r>
      <w:r w:rsidRPr="00253F9F">
        <w:rPr>
          <w:rFonts w:cstheme="minorHAnsi"/>
          <w:i/>
          <w:color w:val="FF0000"/>
          <w:sz w:val="21"/>
          <w:szCs w:val="21"/>
        </w:rPr>
        <w:t>кутије за па</w:t>
      </w:r>
      <w:r>
        <w:rPr>
          <w:rFonts w:cstheme="minorHAnsi"/>
          <w:i/>
          <w:color w:val="FF0000"/>
          <w:sz w:val="21"/>
          <w:szCs w:val="21"/>
        </w:rPr>
        <w:t>ковање, резервни делови и друго,</w:t>
      </w:r>
      <w:r w:rsidRPr="00253F9F">
        <w:rPr>
          <w:rFonts w:cstheme="minorHAnsi"/>
          <w:i/>
          <w:color w:val="FF0000"/>
          <w:sz w:val="21"/>
          <w:szCs w:val="21"/>
        </w:rPr>
        <w:t xml:space="preserve"> са табелом 11. Залихе из ЕФИ-ја од </w:t>
      </w:r>
      <w:r>
        <w:rPr>
          <w:rFonts w:cstheme="minorHAnsi"/>
          <w:i/>
          <w:color w:val="FF0000"/>
          <w:sz w:val="21"/>
          <w:szCs w:val="21"/>
        </w:rPr>
        <w:t>(датум)</w:t>
      </w:r>
      <w:r w:rsidRPr="00253F9F">
        <w:rPr>
          <w:rFonts w:cstheme="minorHAnsi"/>
          <w:i/>
          <w:color w:val="FF0000"/>
          <w:sz w:val="21"/>
          <w:szCs w:val="21"/>
        </w:rPr>
        <w:t xml:space="preserve">, супервизор није био у могућности да утврди да су исте ставке наведене у обе листе, из разлога што је у ЕФИ-ју ова имовина унета збирно, односно у оквиру две ставке (1) материјал ликвидационе вредности у износу од </w:t>
      </w:r>
      <w:r>
        <w:rPr>
          <w:rFonts w:cstheme="minorHAnsi"/>
          <w:i/>
          <w:color w:val="FF0000"/>
          <w:sz w:val="21"/>
          <w:szCs w:val="21"/>
        </w:rPr>
        <w:t>(вредност)</w:t>
      </w:r>
      <w:r w:rsidRPr="00253F9F">
        <w:rPr>
          <w:rFonts w:cstheme="minorHAnsi"/>
          <w:i/>
          <w:color w:val="FF0000"/>
          <w:sz w:val="21"/>
          <w:szCs w:val="21"/>
        </w:rPr>
        <w:t xml:space="preserve"> и (2) готови производи ликвидационе вредности у износу од </w:t>
      </w:r>
      <w:r>
        <w:rPr>
          <w:rFonts w:cstheme="minorHAnsi"/>
          <w:i/>
          <w:color w:val="FF0000"/>
          <w:sz w:val="21"/>
          <w:szCs w:val="21"/>
        </w:rPr>
        <w:t>(вредност)</w:t>
      </w:r>
      <w:r w:rsidRPr="00253F9F">
        <w:rPr>
          <w:rFonts w:cstheme="minorHAnsi"/>
          <w:i/>
          <w:color w:val="FF0000"/>
          <w:sz w:val="21"/>
          <w:szCs w:val="21"/>
        </w:rPr>
        <w:t xml:space="preserve">, укупне ликвидационе вредности у износу од </w:t>
      </w:r>
      <w:r>
        <w:rPr>
          <w:rFonts w:cstheme="minorHAnsi"/>
          <w:i/>
          <w:color w:val="FF0000"/>
          <w:sz w:val="21"/>
          <w:szCs w:val="21"/>
        </w:rPr>
        <w:t>(вредност)</w:t>
      </w:r>
      <w:r w:rsidRPr="00253F9F">
        <w:rPr>
          <w:rFonts w:cstheme="minorHAnsi"/>
          <w:i/>
          <w:color w:val="FF0000"/>
          <w:sz w:val="21"/>
          <w:szCs w:val="21"/>
        </w:rPr>
        <w:t>. Према изјави стечајног управника, имовина је унета збирно из разлога великог броја ставки и мањка времена због кратког рока за израду ЕФИ-ја.</w:t>
      </w:r>
    </w:p>
    <w:p w14:paraId="0F33D031" w14:textId="77777777" w:rsidR="00F47592" w:rsidRDefault="00F47592" w:rsidP="00F47592">
      <w:pPr>
        <w:ind w:left="720"/>
        <w:jc w:val="both"/>
        <w:rPr>
          <w:rFonts w:cstheme="minorHAnsi"/>
          <w:i/>
          <w:color w:val="FF0000"/>
          <w:sz w:val="21"/>
          <w:szCs w:val="21"/>
        </w:rPr>
      </w:pPr>
      <w:r>
        <w:rPr>
          <w:rFonts w:cstheme="minorHAnsi"/>
          <w:i/>
          <w:color w:val="FF0000"/>
          <w:sz w:val="21"/>
          <w:szCs w:val="21"/>
        </w:rPr>
        <w:t>Закључак супервизора</w:t>
      </w:r>
    </w:p>
    <w:p w14:paraId="51C6A3F8" w14:textId="65DBD60C" w:rsidR="00F47592" w:rsidRDefault="00F47592" w:rsidP="00F47592">
      <w:pPr>
        <w:ind w:left="720"/>
        <w:jc w:val="both"/>
        <w:rPr>
          <w:rFonts w:cstheme="minorHAnsi"/>
          <w:i/>
          <w:color w:val="FF0000"/>
          <w:sz w:val="21"/>
          <w:szCs w:val="21"/>
        </w:rPr>
      </w:pPr>
      <w:r>
        <w:rPr>
          <w:rFonts w:cstheme="minorHAnsi"/>
          <w:i/>
          <w:color w:val="FF0000"/>
          <w:sz w:val="21"/>
          <w:szCs w:val="21"/>
        </w:rPr>
        <w:t>...</w:t>
      </w:r>
      <w:r w:rsidRPr="004724C5">
        <w:t xml:space="preserve"> </w:t>
      </w:r>
      <w:r w:rsidR="00862091">
        <w:rPr>
          <w:rFonts w:cstheme="minorHAnsi"/>
          <w:i/>
          <w:color w:val="FF0000"/>
          <w:sz w:val="21"/>
          <w:szCs w:val="21"/>
        </w:rPr>
        <w:t>стечајни управник</w:t>
      </w:r>
      <w:r w:rsidRPr="004724C5">
        <w:rPr>
          <w:rFonts w:cstheme="minorHAnsi"/>
          <w:i/>
          <w:color w:val="FF0000"/>
          <w:sz w:val="21"/>
          <w:szCs w:val="21"/>
        </w:rPr>
        <w:t xml:space="preserve"> је поступао супротно цитираним одредбама члана 27. става 4. Закона о стечају у вези са цитираним одредбама Правилника о утврђивању националних стандарда за управљање стечајном масом („Службени гласник РС“, број 13/10), Националног стандарда о састављању извештаја стечајног управника о економско финансијском положају стечајног дужника, Национални стандард број 3.</w:t>
      </w:r>
    </w:p>
    <w:tbl>
      <w:tblPr>
        <w:tblStyle w:val="GridTable1Light-Accent4"/>
        <w:tblW w:w="5000" w:type="pct"/>
        <w:tblLook w:val="04A0" w:firstRow="1" w:lastRow="0" w:firstColumn="1" w:lastColumn="0" w:noHBand="0" w:noVBand="1"/>
      </w:tblPr>
      <w:tblGrid>
        <w:gridCol w:w="2828"/>
        <w:gridCol w:w="6568"/>
      </w:tblGrid>
      <w:tr w:rsidR="00654C31" w14:paraId="40FCB048" w14:textId="77777777" w:rsidTr="00654C31">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5" w:type="pct"/>
            <w:tcBorders>
              <w:top w:val="single" w:sz="4" w:space="0" w:color="FFE599" w:themeColor="accent4" w:themeTint="66"/>
              <w:bottom w:val="single" w:sz="4" w:space="0" w:color="FFE599" w:themeColor="accent4" w:themeTint="66"/>
            </w:tcBorders>
            <w:vAlign w:val="center"/>
          </w:tcPr>
          <w:p w14:paraId="20369A38" w14:textId="25D3CF37" w:rsidR="00654C31" w:rsidRDefault="00654C31" w:rsidP="007C298B">
            <w:r w:rsidRPr="00654C31">
              <w:t>ЕФИ није пописна листа нити документ процене</w:t>
            </w:r>
          </w:p>
        </w:tc>
        <w:tc>
          <w:tcPr>
            <w:tcW w:w="3495" w:type="pct"/>
            <w:tcBorders>
              <w:top w:val="single" w:sz="4" w:space="0" w:color="FFE599" w:themeColor="accent4" w:themeTint="66"/>
              <w:bottom w:val="single" w:sz="4" w:space="0" w:color="FFE599" w:themeColor="accent4" w:themeTint="66"/>
            </w:tcBorders>
            <w:vAlign w:val="center"/>
          </w:tcPr>
          <w:p w14:paraId="17199433" w14:textId="77777777" w:rsidR="00654C31" w:rsidRDefault="00654C31" w:rsidP="00654C31">
            <w:pPr>
              <w:cnfStyle w:val="100000000000" w:firstRow="1" w:lastRow="0" w:firstColumn="0" w:lastColumn="0" w:oddVBand="0" w:evenVBand="0" w:oddHBand="0" w:evenHBand="0" w:firstRowFirstColumn="0" w:firstRowLastColumn="0" w:lastRowFirstColumn="0" w:lastRowLastColumn="0"/>
              <w:rPr>
                <w:b w:val="0"/>
              </w:rPr>
            </w:pPr>
          </w:p>
          <w:p w14:paraId="14A7624A" w14:textId="77777777" w:rsidR="00654C31" w:rsidRDefault="00654C31" w:rsidP="00654C31">
            <w:pPr>
              <w:cnfStyle w:val="100000000000" w:firstRow="1" w:lastRow="0" w:firstColumn="0" w:lastColumn="0" w:oddVBand="0" w:evenVBand="0" w:oddHBand="0" w:evenHBand="0" w:firstRowFirstColumn="0" w:firstRowLastColumn="0" w:lastRowFirstColumn="0" w:lastRowLastColumn="0"/>
              <w:rPr>
                <w:b w:val="0"/>
              </w:rPr>
            </w:pPr>
            <w:r w:rsidRPr="00654C31">
              <w:rPr>
                <w:b w:val="0"/>
              </w:rPr>
              <w:t>Посебно напомињемо да ЕФИ није пописна листа нити документ процене, већ извештај</w:t>
            </w:r>
            <w:r w:rsidRPr="00654C31">
              <w:rPr>
                <w:b w:val="0"/>
                <w:lang w:val="en-US"/>
              </w:rPr>
              <w:t xml:space="preserve">, </w:t>
            </w:r>
            <w:r w:rsidRPr="00654C31">
              <w:rPr>
                <w:b w:val="0"/>
              </w:rPr>
              <w:t xml:space="preserve">поред осталог, и о извршеном попису и процени </w:t>
            </w:r>
            <w:r>
              <w:rPr>
                <w:b w:val="0"/>
              </w:rPr>
              <w:t>вредности имовине стечајног дужника.</w:t>
            </w:r>
          </w:p>
          <w:p w14:paraId="445E89C6" w14:textId="77777777" w:rsidR="00654C31" w:rsidRDefault="00654C31" w:rsidP="00654C31">
            <w:pPr>
              <w:cnfStyle w:val="100000000000" w:firstRow="1" w:lastRow="0" w:firstColumn="0" w:lastColumn="0" w:oddVBand="0" w:evenVBand="0" w:oddHBand="0" w:evenHBand="0" w:firstRowFirstColumn="0" w:firstRowLastColumn="0" w:lastRowFirstColumn="0" w:lastRowLastColumn="0"/>
              <w:rPr>
                <w:b w:val="0"/>
              </w:rPr>
            </w:pPr>
          </w:p>
          <w:p w14:paraId="36D150E8" w14:textId="3D714281" w:rsidR="00654C31" w:rsidRPr="00654C31" w:rsidRDefault="00654C31" w:rsidP="00654C31">
            <w:pPr>
              <w:cnfStyle w:val="100000000000" w:firstRow="1" w:lastRow="0" w:firstColumn="0" w:lastColumn="0" w:oddVBand="0" w:evenVBand="0" w:oddHBand="0" w:evenHBand="0" w:firstRowFirstColumn="0" w:firstRowLastColumn="0" w:lastRowFirstColumn="0" w:lastRowLastColumn="0"/>
              <w:rPr>
                <w:b w:val="0"/>
              </w:rPr>
            </w:pPr>
            <w:r>
              <w:rPr>
                <w:b w:val="0"/>
              </w:rPr>
              <w:t>Имајући у виду наведено, ЕФИ</w:t>
            </w:r>
            <w:r w:rsidRPr="00654C31">
              <w:rPr>
                <w:b w:val="0"/>
              </w:rPr>
              <w:t xml:space="preserve"> мора бити базиран како на пописним листама, документу процене, тако и на документацији која је била основ за унос у стечајну масу, попис и вредновање (нпр. </w:t>
            </w:r>
            <w:r w:rsidR="00E157A6">
              <w:rPr>
                <w:b w:val="0"/>
              </w:rPr>
              <w:t xml:space="preserve">записници о преузимању имовине/примопредаји дужности, </w:t>
            </w:r>
            <w:r w:rsidRPr="00654C31">
              <w:rPr>
                <w:b w:val="0"/>
              </w:rPr>
              <w:t>имовинско-правна документација, документација прибављена из екстерних извора и др).</w:t>
            </w:r>
          </w:p>
          <w:p w14:paraId="23CE6B72" w14:textId="77777777" w:rsidR="00654C31" w:rsidRPr="00654C31" w:rsidRDefault="00654C31" w:rsidP="00654C31">
            <w:pPr>
              <w:cnfStyle w:val="100000000000" w:firstRow="1" w:lastRow="0" w:firstColumn="0" w:lastColumn="0" w:oddVBand="0" w:evenVBand="0" w:oddHBand="0" w:evenHBand="0" w:firstRowFirstColumn="0" w:firstRowLastColumn="0" w:lastRowFirstColumn="0" w:lastRowLastColumn="0"/>
              <w:rPr>
                <w:b w:val="0"/>
              </w:rPr>
            </w:pPr>
          </w:p>
        </w:tc>
      </w:tr>
    </w:tbl>
    <w:p w14:paraId="2D83468F" w14:textId="74727883" w:rsidR="00654C31" w:rsidRDefault="00654C31" w:rsidP="00F47592">
      <w:pPr>
        <w:jc w:val="both"/>
      </w:pPr>
    </w:p>
    <w:p w14:paraId="6048DDEF" w14:textId="56530AFC" w:rsidR="00F47592" w:rsidRPr="00433CDA" w:rsidRDefault="00043014" w:rsidP="00F47592">
      <w:pPr>
        <w:ind w:left="720"/>
        <w:jc w:val="both"/>
        <w:rPr>
          <w:rFonts w:cstheme="minorHAnsi"/>
          <w:i/>
          <w:color w:val="FF0000"/>
          <w:sz w:val="21"/>
          <w:szCs w:val="21"/>
          <w:u w:val="single"/>
        </w:rPr>
      </w:pPr>
      <w:r>
        <w:rPr>
          <w:rFonts w:cstheme="minorHAnsi"/>
          <w:i/>
          <w:color w:val="FF0000"/>
          <w:sz w:val="21"/>
          <w:szCs w:val="21"/>
          <w:u w:val="single"/>
        </w:rPr>
        <w:t>Надзор</w:t>
      </w:r>
      <w:r w:rsidR="00F47592">
        <w:rPr>
          <w:rFonts w:cstheme="minorHAnsi"/>
          <w:i/>
          <w:color w:val="FF0000"/>
          <w:sz w:val="21"/>
          <w:szCs w:val="21"/>
          <w:u w:val="single"/>
        </w:rPr>
        <w:t xml:space="preserve"> - пример</w:t>
      </w:r>
    </w:p>
    <w:p w14:paraId="66771381" w14:textId="77777777" w:rsidR="00F47592" w:rsidRPr="00E76BA9" w:rsidRDefault="00F47592" w:rsidP="00F47592">
      <w:pPr>
        <w:ind w:left="720"/>
        <w:jc w:val="both"/>
        <w:rPr>
          <w:i/>
          <w:color w:val="FF0000"/>
        </w:rPr>
      </w:pPr>
      <w:r>
        <w:rPr>
          <w:i/>
          <w:color w:val="FF0000"/>
        </w:rPr>
        <w:t>...</w:t>
      </w:r>
      <w:r w:rsidRPr="00E76BA9">
        <w:rPr>
          <w:i/>
          <w:color w:val="FF0000"/>
        </w:rPr>
        <w:t>стечајни управник није сачинио пописне листе дужника и поверилаца стечајног дужника, чиме није поступио са пажњом доброг стручњака, савесно и професионално у смислу цитираних одредаба члана 27. став 4. Закона о стечају, а у вези са цитираним одредбама Националног стандарда број 2.</w:t>
      </w:r>
    </w:p>
    <w:p w14:paraId="01343B78" w14:textId="77777777" w:rsidR="00F47592" w:rsidRPr="00E76BA9" w:rsidRDefault="00F47592" w:rsidP="00F47592">
      <w:pPr>
        <w:ind w:left="720"/>
        <w:jc w:val="both"/>
        <w:rPr>
          <w:i/>
          <w:color w:val="FF0000"/>
        </w:rPr>
      </w:pPr>
      <w:r w:rsidRPr="00E76BA9">
        <w:rPr>
          <w:i/>
          <w:color w:val="FF0000"/>
        </w:rPr>
        <w:t>Цењена је околност да је стечајни управник навео дужнике и повериоце стечајног дужника у ЕФИ-ју, али је иста без утицаја на утврђивање одговорности стечајног управника у конкретном случају, из разлога што је стечајни управник обавезан прописима којима се уређује стечај да исте сачини. У овом контексту, ЕФИ је извештај који сумира и представља суду, повериоцима и Агенцији, поред осталих, и активности стечајног управника на попису имовине стечајног дужника, из чега произлази да, ни по врсти, ни по намени, не представља пописну листу.</w:t>
      </w:r>
    </w:p>
    <w:tbl>
      <w:tblPr>
        <w:tblStyle w:val="GridTable1Light-Accent4"/>
        <w:tblW w:w="5000" w:type="pct"/>
        <w:tblLook w:val="04A0" w:firstRow="1" w:lastRow="0" w:firstColumn="1" w:lastColumn="0" w:noHBand="0" w:noVBand="1"/>
      </w:tblPr>
      <w:tblGrid>
        <w:gridCol w:w="2828"/>
        <w:gridCol w:w="6568"/>
      </w:tblGrid>
      <w:tr w:rsidR="00E157A6" w14:paraId="6B5208B3" w14:textId="77777777" w:rsidTr="00E157A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5" w:type="pct"/>
            <w:tcBorders>
              <w:top w:val="single" w:sz="4" w:space="0" w:color="FFE599" w:themeColor="accent4" w:themeTint="66"/>
              <w:bottom w:val="single" w:sz="4" w:space="0" w:color="FFE599" w:themeColor="accent4" w:themeTint="66"/>
            </w:tcBorders>
            <w:vAlign w:val="center"/>
          </w:tcPr>
          <w:p w14:paraId="6D2E4AC6" w14:textId="55C2943B" w:rsidR="00E157A6" w:rsidRDefault="00E157A6" w:rsidP="007C298B">
            <w:r>
              <w:lastRenderedPageBreak/>
              <w:t>„Празне“ табеле у ЕФИ-ју</w:t>
            </w:r>
          </w:p>
        </w:tc>
        <w:tc>
          <w:tcPr>
            <w:tcW w:w="3495" w:type="pct"/>
            <w:tcBorders>
              <w:top w:val="single" w:sz="4" w:space="0" w:color="FFE599" w:themeColor="accent4" w:themeTint="66"/>
              <w:bottom w:val="single" w:sz="4" w:space="0" w:color="FFE599" w:themeColor="accent4" w:themeTint="66"/>
            </w:tcBorders>
            <w:vAlign w:val="center"/>
          </w:tcPr>
          <w:p w14:paraId="2B2072FB" w14:textId="77777777" w:rsidR="00E157A6" w:rsidRDefault="00E157A6" w:rsidP="00E157A6">
            <w:pPr>
              <w:cnfStyle w:val="100000000000" w:firstRow="1" w:lastRow="0" w:firstColumn="0" w:lastColumn="0" w:oddVBand="0" w:evenVBand="0" w:oddHBand="0" w:evenHBand="0" w:firstRowFirstColumn="0" w:firstRowLastColumn="0" w:lastRowFirstColumn="0" w:lastRowLastColumn="0"/>
              <w:rPr>
                <w:b w:val="0"/>
              </w:rPr>
            </w:pPr>
          </w:p>
          <w:p w14:paraId="55DAF715" w14:textId="77777777" w:rsidR="00E157A6" w:rsidRPr="00E157A6" w:rsidRDefault="00E157A6" w:rsidP="00E157A6">
            <w:pPr>
              <w:cnfStyle w:val="100000000000" w:firstRow="1" w:lastRow="0" w:firstColumn="0" w:lastColumn="0" w:oddVBand="0" w:evenVBand="0" w:oddHBand="0" w:evenHBand="0" w:firstRowFirstColumn="0" w:firstRowLastColumn="0" w:lastRowFirstColumn="0" w:lastRowLastColumn="0"/>
              <w:rPr>
                <w:b w:val="0"/>
              </w:rPr>
            </w:pPr>
            <w:r w:rsidRPr="00E157A6">
              <w:rPr>
                <w:b w:val="0"/>
              </w:rPr>
              <w:t xml:space="preserve">Када је одређена табела која се односи на имовину непопуњена у ЕФИ-ју, сама тврдња у коментару да стечајни дужник исту не поседује није довољна, већ је потребно у коментару навести извор информација/ документацију која је основ за ту тврдњу. </w:t>
            </w:r>
          </w:p>
          <w:p w14:paraId="57716335" w14:textId="77777777" w:rsidR="00E157A6" w:rsidRDefault="00E157A6" w:rsidP="00E157A6">
            <w:pPr>
              <w:cnfStyle w:val="100000000000" w:firstRow="1" w:lastRow="0" w:firstColumn="0" w:lastColumn="0" w:oddVBand="0" w:evenVBand="0" w:oddHBand="0" w:evenHBand="0" w:firstRowFirstColumn="0" w:firstRowLastColumn="0" w:lastRowFirstColumn="0" w:lastRowLastColumn="0"/>
              <w:rPr>
                <w:b w:val="0"/>
              </w:rPr>
            </w:pPr>
          </w:p>
          <w:p w14:paraId="16E7D8B5" w14:textId="1D424FFE" w:rsidR="00E157A6" w:rsidRDefault="00E157A6" w:rsidP="00E157A6">
            <w:pPr>
              <w:cnfStyle w:val="100000000000" w:firstRow="1" w:lastRow="0" w:firstColumn="0" w:lastColumn="0" w:oddVBand="0" w:evenVBand="0" w:oddHBand="0" w:evenHBand="0" w:firstRowFirstColumn="0" w:firstRowLastColumn="0" w:lastRowFirstColumn="0" w:lastRowLastColumn="0"/>
              <w:rPr>
                <w:b w:val="0"/>
              </w:rPr>
            </w:pPr>
            <w:r w:rsidRPr="00E157A6">
              <w:rPr>
                <w:b w:val="0"/>
              </w:rPr>
              <w:t>Неправилно</w:t>
            </w:r>
            <w:r w:rsidR="00862091">
              <w:rPr>
                <w:b w:val="0"/>
              </w:rPr>
              <w:t>ст у раду стечајног управника је достављање ЕФИ-ја (су</w:t>
            </w:r>
            <w:r w:rsidR="000413B1">
              <w:rPr>
                <w:b w:val="0"/>
              </w:rPr>
              <w:t>ду, повериоцима, Агенцији) у који</w:t>
            </w:r>
            <w:r w:rsidR="00862091">
              <w:rPr>
                <w:b w:val="0"/>
              </w:rPr>
              <w:t xml:space="preserve"> је унета имовина,</w:t>
            </w:r>
            <w:r w:rsidRPr="00E157A6">
              <w:rPr>
                <w:b w:val="0"/>
              </w:rPr>
              <w:t xml:space="preserve"> која је преузета </w:t>
            </w:r>
            <w:r w:rsidR="00862091" w:rsidRPr="00E157A6">
              <w:rPr>
                <w:b w:val="0"/>
              </w:rPr>
              <w:t xml:space="preserve">и пописана </w:t>
            </w:r>
            <w:r w:rsidRPr="00E157A6">
              <w:rPr>
                <w:b w:val="0"/>
              </w:rPr>
              <w:t>од стране стечајног управника, а није процењена</w:t>
            </w:r>
            <w:r w:rsidR="00862091">
              <w:rPr>
                <w:b w:val="0"/>
              </w:rPr>
              <w:t>,</w:t>
            </w:r>
            <w:r w:rsidRPr="00E157A6">
              <w:rPr>
                <w:b w:val="0"/>
              </w:rPr>
              <w:t xml:space="preserve"> из било ког разлога, јер такав извештај </w:t>
            </w:r>
            <w:r>
              <w:rPr>
                <w:b w:val="0"/>
              </w:rPr>
              <w:t>не би требало да буде</w:t>
            </w:r>
            <w:r w:rsidR="00862091">
              <w:rPr>
                <w:b w:val="0"/>
              </w:rPr>
              <w:t xml:space="preserve"> основ</w:t>
            </w:r>
            <w:r w:rsidRPr="00E157A6">
              <w:rPr>
                <w:b w:val="0"/>
              </w:rPr>
              <w:t xml:space="preserve"> за доношење било каквих одлука, а посебно </w:t>
            </w:r>
            <w:r>
              <w:rPr>
                <w:b w:val="0"/>
              </w:rPr>
              <w:t xml:space="preserve">не </w:t>
            </w:r>
            <w:r w:rsidRPr="00E157A6">
              <w:rPr>
                <w:b w:val="0"/>
              </w:rPr>
              <w:t>одлуке о банкротству.</w:t>
            </w:r>
          </w:p>
          <w:p w14:paraId="1F49BFDB" w14:textId="4C45C196" w:rsidR="00E157A6" w:rsidRPr="00E157A6" w:rsidRDefault="00E157A6" w:rsidP="00E157A6">
            <w:pPr>
              <w:cnfStyle w:val="100000000000" w:firstRow="1" w:lastRow="0" w:firstColumn="0" w:lastColumn="0" w:oddVBand="0" w:evenVBand="0" w:oddHBand="0" w:evenHBand="0" w:firstRowFirstColumn="0" w:firstRowLastColumn="0" w:lastRowFirstColumn="0" w:lastRowLastColumn="0"/>
              <w:rPr>
                <w:b w:val="0"/>
              </w:rPr>
            </w:pPr>
          </w:p>
        </w:tc>
      </w:tr>
    </w:tbl>
    <w:p w14:paraId="7220BE37" w14:textId="77777777" w:rsidR="00E157A6" w:rsidRDefault="00E157A6" w:rsidP="00F47592">
      <w:pPr>
        <w:jc w:val="both"/>
        <w:rPr>
          <w:b/>
        </w:rPr>
      </w:pPr>
    </w:p>
    <w:p w14:paraId="5EC039C6" w14:textId="0CF3F889" w:rsidR="00F47592" w:rsidRPr="00433CDA" w:rsidRDefault="00043014" w:rsidP="00F47592">
      <w:pPr>
        <w:ind w:left="990"/>
        <w:jc w:val="both"/>
        <w:rPr>
          <w:rFonts w:cstheme="minorHAnsi"/>
          <w:i/>
          <w:color w:val="FF0000"/>
          <w:sz w:val="21"/>
          <w:szCs w:val="21"/>
          <w:u w:val="single"/>
        </w:rPr>
      </w:pPr>
      <w:r>
        <w:rPr>
          <w:rFonts w:cstheme="minorHAnsi"/>
          <w:i/>
          <w:color w:val="FF0000"/>
          <w:sz w:val="21"/>
          <w:szCs w:val="21"/>
          <w:u w:val="single"/>
        </w:rPr>
        <w:t>Надзор</w:t>
      </w:r>
      <w:r w:rsidR="00F47592">
        <w:rPr>
          <w:rFonts w:cstheme="minorHAnsi"/>
          <w:i/>
          <w:color w:val="FF0000"/>
          <w:sz w:val="21"/>
          <w:szCs w:val="21"/>
          <w:u w:val="single"/>
        </w:rPr>
        <w:t xml:space="preserve"> - пример</w:t>
      </w:r>
    </w:p>
    <w:p w14:paraId="0F7540D7" w14:textId="77777777" w:rsidR="00F47592" w:rsidRPr="00E758EC" w:rsidRDefault="00F47592" w:rsidP="00F47592">
      <w:pPr>
        <w:ind w:left="990"/>
        <w:jc w:val="both"/>
        <w:rPr>
          <w:rFonts w:cstheme="minorHAnsi"/>
          <w:i/>
          <w:color w:val="FF0000"/>
          <w:sz w:val="21"/>
          <w:szCs w:val="21"/>
        </w:rPr>
      </w:pPr>
      <w:r>
        <w:rPr>
          <w:rFonts w:cstheme="minorHAnsi"/>
          <w:i/>
          <w:color w:val="FF0000"/>
          <w:sz w:val="21"/>
          <w:szCs w:val="21"/>
        </w:rPr>
        <w:t>...</w:t>
      </w:r>
      <w:r w:rsidRPr="00F1640D">
        <w:t xml:space="preserve"> </w:t>
      </w:r>
      <w:r w:rsidRPr="00E758EC">
        <w:rPr>
          <w:rFonts w:cstheme="minorHAnsi"/>
          <w:i/>
          <w:color w:val="FF0000"/>
          <w:sz w:val="21"/>
          <w:szCs w:val="21"/>
        </w:rPr>
        <w:t xml:space="preserve">стечајни управник је проценио и у ЕФИ-ју приказао непокретности, опрему и залихе стечајног дужника (5 објеката, 29 ставки опреме и 4 ставке опреме, где је вредност сваке ставке по 1,00 динар) укупне ликвидационе вредности </w:t>
      </w:r>
      <w:r w:rsidRPr="00862091">
        <w:rPr>
          <w:rFonts w:cstheme="minorHAnsi"/>
          <w:i/>
          <w:color w:val="FF0000"/>
          <w:sz w:val="21"/>
          <w:szCs w:val="21"/>
        </w:rPr>
        <w:t>37,00 динара</w:t>
      </w:r>
      <w:r w:rsidRPr="00E758EC">
        <w:rPr>
          <w:rFonts w:cstheme="minorHAnsi"/>
          <w:i/>
          <w:color w:val="FF0000"/>
          <w:sz w:val="21"/>
          <w:szCs w:val="21"/>
        </w:rPr>
        <w:t>. Међутим, након процене вредности имовине, и то 2 од 5 објеката, опреме и залиха (</w:t>
      </w:r>
      <w:r>
        <w:rPr>
          <w:rFonts w:cstheme="minorHAnsi"/>
          <w:i/>
          <w:color w:val="FF0000"/>
          <w:sz w:val="21"/>
          <w:szCs w:val="21"/>
        </w:rPr>
        <w:t>годину дана након отварања стечаја</w:t>
      </w:r>
      <w:r w:rsidRPr="00E758EC">
        <w:rPr>
          <w:rFonts w:cstheme="minorHAnsi"/>
          <w:i/>
          <w:color w:val="FF0000"/>
          <w:sz w:val="21"/>
          <w:szCs w:val="21"/>
        </w:rPr>
        <w:t>) за потребе продаје, у тромесечном извештају евидентирано је повећање вредности непокретности, опреме и залиха у износу од 218.872.627,83 динара. Даље, стечајни управник није до дана надзора предузео активности на утврђивању власништва и процени вредности непокретности које су у табели Објекти у ЕФИ-ју на редним бројевима 2, 4. и 5, евидентиране као својина стечајног дужника.</w:t>
      </w:r>
    </w:p>
    <w:p w14:paraId="20453EC4" w14:textId="77777777" w:rsidR="00F47592" w:rsidRPr="00E758EC" w:rsidRDefault="00F47592" w:rsidP="00F47592">
      <w:pPr>
        <w:ind w:left="990"/>
        <w:jc w:val="both"/>
        <w:rPr>
          <w:rFonts w:cstheme="minorHAnsi"/>
          <w:i/>
          <w:color w:val="FF0000"/>
          <w:sz w:val="21"/>
          <w:szCs w:val="21"/>
        </w:rPr>
      </w:pPr>
      <w:r w:rsidRPr="00E758EC">
        <w:rPr>
          <w:rFonts w:cstheme="minorHAnsi"/>
          <w:i/>
          <w:color w:val="FF0000"/>
          <w:sz w:val="21"/>
          <w:szCs w:val="21"/>
        </w:rPr>
        <w:t xml:space="preserve">Поред наведеног, стечајни управник није до дана надзора проценио </w:t>
      </w:r>
      <w:r>
        <w:rPr>
          <w:rFonts w:cstheme="minorHAnsi"/>
          <w:i/>
          <w:color w:val="FF0000"/>
          <w:sz w:val="21"/>
          <w:szCs w:val="21"/>
        </w:rPr>
        <w:t xml:space="preserve">ликвидациону вредност </w:t>
      </w:r>
      <w:r w:rsidRPr="00E758EC">
        <w:rPr>
          <w:rFonts w:cstheme="minorHAnsi"/>
          <w:i/>
          <w:color w:val="FF0000"/>
          <w:sz w:val="21"/>
          <w:szCs w:val="21"/>
        </w:rPr>
        <w:t>потраживања стечајног дужника, за која је навео да на дан отварања стечајног поступка износе 22.536.382,48 динара.</w:t>
      </w:r>
    </w:p>
    <w:p w14:paraId="1B85A3B2" w14:textId="40B72B94" w:rsidR="00F47592" w:rsidRPr="00E758EC" w:rsidRDefault="00F47592" w:rsidP="00F47592">
      <w:pPr>
        <w:ind w:left="990"/>
        <w:jc w:val="both"/>
        <w:rPr>
          <w:rFonts w:cstheme="minorHAnsi"/>
          <w:i/>
          <w:color w:val="FF0000"/>
          <w:sz w:val="21"/>
          <w:szCs w:val="21"/>
        </w:rPr>
      </w:pPr>
      <w:r w:rsidRPr="00E758EC">
        <w:rPr>
          <w:rFonts w:cstheme="minorHAnsi"/>
          <w:i/>
          <w:color w:val="FF0000"/>
          <w:sz w:val="21"/>
          <w:szCs w:val="21"/>
        </w:rPr>
        <w:t>С тим у вези, цењени су наводи стечајног управника: (1) да су вредности имовине процењене за потребе израде ЕФИ-ја и да ће се процена вредности за потребе продаје накнадно извршити; (2) да у тренутку израде ЕФИ-ја није било стручних лица за процену вредности, да комисија састављена од стечајног управника и друга два лица није компетентна за такву процену, из ког разлога је појединачна вредност имовине по ставкама одређена у износу од по 1 динар, (3) да су наведени објекти (на редним бројевима 2, 4. и 5 у табели Објекти у ЕФИ-ју) продати пре отварања стечајног поступка, али нису искњижени из власништва стечајног дужника у РГЗ СКН</w:t>
      </w:r>
      <w:bookmarkStart w:id="0" w:name="_GoBack"/>
      <w:bookmarkEnd w:id="0"/>
      <w:r w:rsidRPr="00E758EC">
        <w:rPr>
          <w:rFonts w:cstheme="minorHAnsi"/>
          <w:i/>
          <w:color w:val="FF0000"/>
          <w:sz w:val="21"/>
          <w:szCs w:val="21"/>
        </w:rPr>
        <w:t>, као и да ће приоритетно предузети активности око утврђивања чињеничног стања на основу документације стечајног дужника и документације купаца наведених објеката и (4) да је након ЕФИ-ја, извршио анализу потраживања стечајног дужника и предузео активности на наплати истих, као и да процена није могла бити извршена због кратког рока за израду ЕФИ, али су исти неосновани, из разлога што је стечајни управник дужан да изврши процену, поред осталог, и сваког појединачног дела имовине која је у власништву стечајног дужника и да стечајни управник, уколико не процењује самостално вредност имовине стечајног дужника, уз сагласност судије ангажује стручна лица ради процене вредности, у смислу цитираних одредаба Националног стандарда број 2.</w:t>
      </w:r>
    </w:p>
    <w:p w14:paraId="70E5A9DF" w14:textId="77777777" w:rsidR="00F47592" w:rsidRDefault="00F47592" w:rsidP="00F47592">
      <w:pPr>
        <w:ind w:left="720"/>
        <w:jc w:val="both"/>
        <w:rPr>
          <w:rFonts w:cstheme="minorHAnsi"/>
          <w:i/>
          <w:color w:val="FF0000"/>
          <w:sz w:val="21"/>
          <w:szCs w:val="21"/>
        </w:rPr>
      </w:pPr>
      <w:r>
        <w:rPr>
          <w:rFonts w:cstheme="minorHAnsi"/>
          <w:i/>
          <w:color w:val="FF0000"/>
          <w:sz w:val="21"/>
          <w:szCs w:val="21"/>
        </w:rPr>
        <w:lastRenderedPageBreak/>
        <w:t xml:space="preserve">     Закључак супервизора</w:t>
      </w:r>
    </w:p>
    <w:p w14:paraId="35B2B16B" w14:textId="4F0FAE2D" w:rsidR="00F47592" w:rsidRDefault="00862091" w:rsidP="00F47592">
      <w:pPr>
        <w:ind w:left="990"/>
        <w:jc w:val="both"/>
        <w:rPr>
          <w:rFonts w:cstheme="minorHAnsi"/>
          <w:i/>
          <w:color w:val="FF0000"/>
          <w:sz w:val="21"/>
          <w:szCs w:val="21"/>
        </w:rPr>
      </w:pPr>
      <w:r>
        <w:rPr>
          <w:rFonts w:cstheme="minorHAnsi"/>
          <w:i/>
          <w:color w:val="FF0000"/>
          <w:sz w:val="21"/>
          <w:szCs w:val="21"/>
        </w:rPr>
        <w:t>...стечајни управник</w:t>
      </w:r>
      <w:r w:rsidR="00F47592">
        <w:rPr>
          <w:rFonts w:cstheme="minorHAnsi"/>
          <w:i/>
          <w:color w:val="FF0000"/>
          <w:sz w:val="21"/>
          <w:szCs w:val="21"/>
        </w:rPr>
        <w:t xml:space="preserve"> је</w:t>
      </w:r>
      <w:r w:rsidR="00F47592" w:rsidRPr="00E758EC">
        <w:rPr>
          <w:rFonts w:cstheme="minorHAnsi"/>
          <w:i/>
          <w:color w:val="FF0000"/>
          <w:sz w:val="21"/>
          <w:szCs w:val="21"/>
        </w:rPr>
        <w:t xml:space="preserve"> поступао супротно цитираним одредбама члана 27. става 4. Закона о стечају у вези са цитираним одредбама члана 106. став 1. истог закона и одредбама Националног број 2 и 3.</w:t>
      </w:r>
      <w:r w:rsidR="00F47592">
        <w:rPr>
          <w:rFonts w:cstheme="minorHAnsi"/>
          <w:i/>
          <w:color w:val="FF0000"/>
          <w:sz w:val="21"/>
          <w:szCs w:val="21"/>
        </w:rPr>
        <w:t xml:space="preserve"> </w:t>
      </w:r>
      <w:r w:rsidR="00F47592" w:rsidRPr="00F1640D">
        <w:rPr>
          <w:rFonts w:cstheme="minorHAnsi"/>
          <w:i/>
          <w:color w:val="FF0000"/>
          <w:sz w:val="21"/>
          <w:szCs w:val="21"/>
        </w:rPr>
        <w:t>Наведено поступање стечајног управника у вези са проценом имовине представља поступање супротно цитираним одредбама члана 106. став 1. Закона о стечају и Националног стандарда број 2, а у вези са цитираним одредбама чл. 36. ст. 3 и 4. и члана 109. став 3. Закона о стечају</w:t>
      </w:r>
      <w:r w:rsidR="00F47592">
        <w:rPr>
          <w:rFonts w:cstheme="minorHAnsi"/>
          <w:i/>
          <w:color w:val="FF0000"/>
          <w:sz w:val="21"/>
          <w:szCs w:val="21"/>
        </w:rPr>
        <w:t>.</w:t>
      </w:r>
    </w:p>
    <w:tbl>
      <w:tblPr>
        <w:tblStyle w:val="GridTable1Light-Accent4"/>
        <w:tblW w:w="5000" w:type="pct"/>
        <w:tblLook w:val="04A0" w:firstRow="1" w:lastRow="0" w:firstColumn="1" w:lastColumn="0" w:noHBand="0" w:noVBand="1"/>
      </w:tblPr>
      <w:tblGrid>
        <w:gridCol w:w="2828"/>
        <w:gridCol w:w="6568"/>
      </w:tblGrid>
      <w:tr w:rsidR="00E157A6" w14:paraId="768E767A" w14:textId="77777777" w:rsidTr="007C2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5" w:type="pct"/>
            <w:tcBorders>
              <w:top w:val="single" w:sz="4" w:space="0" w:color="FFE599" w:themeColor="accent4" w:themeTint="66"/>
              <w:bottom w:val="single" w:sz="4" w:space="0" w:color="FFE599" w:themeColor="accent4" w:themeTint="66"/>
            </w:tcBorders>
            <w:vAlign w:val="center"/>
          </w:tcPr>
          <w:p w14:paraId="61720AC5" w14:textId="64F06DFA" w:rsidR="00E157A6" w:rsidRDefault="00E157A6" w:rsidP="007C298B">
            <w:r>
              <w:t>Када имовина није преузета...</w:t>
            </w:r>
          </w:p>
        </w:tc>
        <w:tc>
          <w:tcPr>
            <w:tcW w:w="3495" w:type="pct"/>
            <w:tcBorders>
              <w:top w:val="single" w:sz="4" w:space="0" w:color="FFE599" w:themeColor="accent4" w:themeTint="66"/>
              <w:bottom w:val="single" w:sz="4" w:space="0" w:color="FFE599" w:themeColor="accent4" w:themeTint="66"/>
            </w:tcBorders>
            <w:vAlign w:val="center"/>
          </w:tcPr>
          <w:p w14:paraId="0D9F32D9" w14:textId="77777777" w:rsidR="00E157A6" w:rsidRDefault="00E157A6" w:rsidP="007C298B">
            <w:pPr>
              <w:cnfStyle w:val="100000000000" w:firstRow="1" w:lastRow="0" w:firstColumn="0" w:lastColumn="0" w:oddVBand="0" w:evenVBand="0" w:oddHBand="0" w:evenHBand="0" w:firstRowFirstColumn="0" w:firstRowLastColumn="0" w:lastRowFirstColumn="0" w:lastRowLastColumn="0"/>
              <w:rPr>
                <w:b w:val="0"/>
              </w:rPr>
            </w:pPr>
          </w:p>
          <w:p w14:paraId="38AFE305" w14:textId="77777777" w:rsidR="00E157A6" w:rsidRDefault="00E157A6" w:rsidP="007C298B">
            <w:pPr>
              <w:cnfStyle w:val="100000000000" w:firstRow="1" w:lastRow="0" w:firstColumn="0" w:lastColumn="0" w:oddVBand="0" w:evenVBand="0" w:oddHBand="0" w:evenHBand="0" w:firstRowFirstColumn="0" w:firstRowLastColumn="0" w:lastRowFirstColumn="0" w:lastRowLastColumn="0"/>
              <w:rPr>
                <w:b w:val="0"/>
              </w:rPr>
            </w:pPr>
            <w:r w:rsidRPr="00E157A6">
              <w:rPr>
                <w:b w:val="0"/>
              </w:rPr>
              <w:t xml:space="preserve">У вези са имовином која није преузета до дана израде ЕФИ-ја, неопходно је навести расположиве податке, разлоге из којих иста није преузета, као и предузете активности стечајног управника у вези са конкретном имовином. </w:t>
            </w:r>
          </w:p>
          <w:p w14:paraId="2AC24E22" w14:textId="77777777" w:rsidR="00E157A6" w:rsidRDefault="00E157A6" w:rsidP="007C298B">
            <w:pPr>
              <w:cnfStyle w:val="100000000000" w:firstRow="1" w:lastRow="0" w:firstColumn="0" w:lastColumn="0" w:oddVBand="0" w:evenVBand="0" w:oddHBand="0" w:evenHBand="0" w:firstRowFirstColumn="0" w:firstRowLastColumn="0" w:lastRowFirstColumn="0" w:lastRowLastColumn="0"/>
              <w:rPr>
                <w:b w:val="0"/>
              </w:rPr>
            </w:pPr>
          </w:p>
          <w:p w14:paraId="2F6E61EF" w14:textId="4EA4FE73" w:rsidR="00E157A6" w:rsidRDefault="00E157A6" w:rsidP="007C298B">
            <w:pPr>
              <w:cnfStyle w:val="100000000000" w:firstRow="1" w:lastRow="0" w:firstColumn="0" w:lastColumn="0" w:oddVBand="0" w:evenVBand="0" w:oddHBand="0" w:evenHBand="0" w:firstRowFirstColumn="0" w:firstRowLastColumn="0" w:lastRowFirstColumn="0" w:lastRowLastColumn="0"/>
              <w:rPr>
                <w:b w:val="0"/>
              </w:rPr>
            </w:pPr>
            <w:r w:rsidRPr="00E157A6">
              <w:rPr>
                <w:b w:val="0"/>
              </w:rPr>
              <w:t>У овим околностима, потребно је да стечајни управник размотри опцију подношења захтева за одлагање првог поверилачког рочишта.</w:t>
            </w:r>
          </w:p>
          <w:p w14:paraId="38FDAACE" w14:textId="52CFEC0B" w:rsidR="00E157A6" w:rsidRPr="00E157A6" w:rsidRDefault="00E157A6" w:rsidP="007C298B">
            <w:pPr>
              <w:cnfStyle w:val="100000000000" w:firstRow="1" w:lastRow="0" w:firstColumn="0" w:lastColumn="0" w:oddVBand="0" w:evenVBand="0" w:oddHBand="0" w:evenHBand="0" w:firstRowFirstColumn="0" w:firstRowLastColumn="0" w:lastRowFirstColumn="0" w:lastRowLastColumn="0"/>
              <w:rPr>
                <w:b w:val="0"/>
              </w:rPr>
            </w:pPr>
          </w:p>
        </w:tc>
      </w:tr>
    </w:tbl>
    <w:p w14:paraId="20330C78" w14:textId="77777777" w:rsidR="00E157A6" w:rsidRDefault="00E157A6" w:rsidP="00F47592">
      <w:pPr>
        <w:jc w:val="both"/>
      </w:pPr>
    </w:p>
    <w:p w14:paraId="63EFA1FE" w14:textId="3645ACEC" w:rsidR="00F47592" w:rsidRPr="00433CDA" w:rsidRDefault="00043014" w:rsidP="00F47592">
      <w:pPr>
        <w:ind w:left="990"/>
        <w:jc w:val="both"/>
        <w:rPr>
          <w:rFonts w:cstheme="minorHAnsi"/>
          <w:i/>
          <w:color w:val="FF0000"/>
          <w:sz w:val="21"/>
          <w:szCs w:val="21"/>
          <w:u w:val="single"/>
        </w:rPr>
      </w:pPr>
      <w:r>
        <w:rPr>
          <w:rFonts w:cstheme="minorHAnsi"/>
          <w:i/>
          <w:color w:val="FF0000"/>
          <w:sz w:val="21"/>
          <w:szCs w:val="21"/>
          <w:u w:val="single"/>
        </w:rPr>
        <w:t>Надзор</w:t>
      </w:r>
      <w:r w:rsidR="00F47592">
        <w:rPr>
          <w:rFonts w:cstheme="minorHAnsi"/>
          <w:i/>
          <w:color w:val="FF0000"/>
          <w:sz w:val="21"/>
          <w:szCs w:val="21"/>
          <w:u w:val="single"/>
        </w:rPr>
        <w:t xml:space="preserve"> - пример</w:t>
      </w:r>
    </w:p>
    <w:p w14:paraId="7B268156" w14:textId="77777777" w:rsidR="00F47592" w:rsidRPr="00BF47A6" w:rsidRDefault="00F47592" w:rsidP="00F47592">
      <w:pPr>
        <w:ind w:left="990"/>
        <w:jc w:val="both"/>
        <w:rPr>
          <w:i/>
          <w:color w:val="FF0000"/>
        </w:rPr>
      </w:pPr>
      <w:r w:rsidRPr="00BF47A6">
        <w:rPr>
          <w:i/>
          <w:color w:val="FF0000"/>
          <w:lang w:val="en-US"/>
        </w:rPr>
        <w:t>….</w:t>
      </w:r>
      <w:r w:rsidRPr="00BF47A6">
        <w:rPr>
          <w:i/>
          <w:color w:val="FF0000"/>
        </w:rPr>
        <w:t>из изведених доказа произилази да је стечајни управник за прво поверилачко рочиште које је било заказано за 22. децембар 2015. године, а које је било одложено за 11. фебруар 2016. године, дана 4. децембра 2015. године предао суду ЕФИ без података о имовини стечајног дужника; да се на првом поверилачком рочишту које је одржано 11. фебруара 2016. године расправљало о ЕФИ-у који је предат суду 4. децембра 2015. године и поред чињенице да је стечајни управник у међувремену од 4. децембра 2015. године до 11. фебруар 2016. године, располагао са подацима о покретној и непокретној имовини стечајног дужника а што је утврђено на основу Извештаја пописне комисије од 29. јануара 2016. године, што ће рећи да је стечајни управник био дужан да за прво поверилачко рочиште заказано за 11. фебруар 2016. године, сачини нови ЕФИ са свим подацима о имовини и процењеној ликвидационој вредности до које је дошао пре првог поверилачког рочишта одржаног у фебруару 2016. године.</w:t>
      </w:r>
    </w:p>
    <w:p w14:paraId="0F3CA7F2" w14:textId="77777777" w:rsidR="00F47592" w:rsidRPr="00BF47A6" w:rsidRDefault="00F47592" w:rsidP="00F47592">
      <w:pPr>
        <w:ind w:left="990"/>
        <w:jc w:val="both"/>
        <w:rPr>
          <w:i/>
          <w:color w:val="FF0000"/>
        </w:rPr>
      </w:pPr>
      <w:r w:rsidRPr="00BF47A6">
        <w:rPr>
          <w:i/>
          <w:color w:val="FF0000"/>
        </w:rPr>
        <w:t xml:space="preserve">Из утврђеног чињеничног стања произилази да је стечајни управник на описани начин извршио повреду одредби Националног стандарда број 3. </w:t>
      </w:r>
    </w:p>
    <w:p w14:paraId="2503B161" w14:textId="007816BC" w:rsidR="00F47592" w:rsidRPr="00BF47A6" w:rsidRDefault="00F47592" w:rsidP="00F47592">
      <w:pPr>
        <w:ind w:left="990"/>
        <w:jc w:val="both"/>
        <w:rPr>
          <w:i/>
          <w:color w:val="FF0000"/>
          <w:lang w:val="sr-Cyrl-CS"/>
        </w:rPr>
      </w:pPr>
      <w:r w:rsidRPr="00BF47A6">
        <w:rPr>
          <w:i/>
          <w:color w:val="FF0000"/>
          <w:lang w:val="sr-Cyrl-CS"/>
        </w:rPr>
        <w:t xml:space="preserve">Из утврђеног чињеничног стања произилази и то, да стечајни управник није пописао имовину на којој постоји уписано заложно право и није пописао уделе које стечајни дужник има у другим правним лицима, и није их унео ни у ЕФИ. Поред наведеног, стечајни управник у листу дужника стечајног дужника није унео податке о потраживању које стечајни дужник има </w:t>
      </w:r>
      <w:r w:rsidR="00862091">
        <w:rPr>
          <w:i/>
          <w:color w:val="FF0000"/>
          <w:lang w:val="sr-Cyrl-CS"/>
        </w:rPr>
        <w:t>од правног лица (назив)</w:t>
      </w:r>
      <w:r w:rsidRPr="00BF47A6">
        <w:rPr>
          <w:i/>
          <w:color w:val="FF0000"/>
          <w:lang w:val="sr-Cyrl-CS"/>
        </w:rPr>
        <w:t xml:space="preserve">.  </w:t>
      </w:r>
    </w:p>
    <w:p w14:paraId="19B88E23" w14:textId="5F30E3E1" w:rsidR="00F47592" w:rsidRPr="00BF47A6" w:rsidRDefault="00F47592" w:rsidP="00F47592">
      <w:pPr>
        <w:ind w:left="990"/>
        <w:jc w:val="both"/>
        <w:rPr>
          <w:i/>
          <w:color w:val="FF0000"/>
          <w:lang w:val="sr-Cyrl-CS"/>
        </w:rPr>
      </w:pPr>
      <w:r w:rsidRPr="00BF47A6">
        <w:rPr>
          <w:i/>
          <w:color w:val="FF0000"/>
          <w:lang w:val="sr-Cyrl-CS"/>
        </w:rPr>
        <w:t>На наведени начин, стечајни управник је извршио повреду одред</w:t>
      </w:r>
      <w:r w:rsidR="00862091">
        <w:rPr>
          <w:i/>
          <w:color w:val="FF0000"/>
          <w:lang w:val="sr-Cyrl-CS"/>
        </w:rPr>
        <w:t>аба члана 27. ст. 1. тач. 3)</w:t>
      </w:r>
      <w:r w:rsidRPr="00BF47A6">
        <w:rPr>
          <w:i/>
          <w:color w:val="FF0000"/>
          <w:lang w:val="sr-Cyrl-CS"/>
        </w:rPr>
        <w:t xml:space="preserve"> Закона о стечају, повреду одред</w:t>
      </w:r>
      <w:r w:rsidR="00862091">
        <w:rPr>
          <w:i/>
          <w:color w:val="FF0000"/>
          <w:lang w:val="sr-Cyrl-CS"/>
        </w:rPr>
        <w:t>аба</w:t>
      </w:r>
      <w:r w:rsidRPr="00BF47A6">
        <w:rPr>
          <w:i/>
          <w:color w:val="FF0000"/>
          <w:lang w:val="sr-Cyrl-CS"/>
        </w:rPr>
        <w:t xml:space="preserve"> Националног стандарда број 2 – Национални стандард о попису имовине, процени вредности и почетном стечајном билансу стечајног дужника, који прописује да стечајни управник израђује потпун и </w:t>
      </w:r>
      <w:r w:rsidRPr="00BF47A6">
        <w:rPr>
          <w:i/>
          <w:color w:val="FF0000"/>
          <w:lang w:val="sr-Cyrl-CS"/>
        </w:rPr>
        <w:lastRenderedPageBreak/>
        <w:t>свеобухватан попис имовине стечајног дужника у роковима које прописује Закон о стечају и утврђује процењену вредност имовине стечајног дужника у циљу израде Почетног стечајног биланса.</w:t>
      </w:r>
    </w:p>
    <w:p w14:paraId="58319B85" w14:textId="77777777" w:rsidR="00F47592" w:rsidRPr="00BF47A6" w:rsidRDefault="00F47592" w:rsidP="00F47592">
      <w:pPr>
        <w:ind w:left="990"/>
        <w:jc w:val="both"/>
        <w:rPr>
          <w:i/>
          <w:noProof/>
          <w:color w:val="FF0000"/>
          <w:lang w:val="sr-Cyrl-CS"/>
        </w:rPr>
      </w:pPr>
      <w:r w:rsidRPr="00BF47A6">
        <w:rPr>
          <w:i/>
          <w:noProof/>
          <w:color w:val="FF0000"/>
          <w:lang w:val="sr-Cyrl-CS"/>
        </w:rPr>
        <w:t>Супервизор је ценио и наводе стечајног управника али се не могу прихватити као оправдани разлози да је документација стечајног дужника била расута и несређена а машине дислоциране, јер је стечајни управник имао могућност, као што је већ описано, да прикупи податаке о имовини стечајног дужника, и исту унесе у ЕФИ.</w:t>
      </w:r>
    </w:p>
    <w:tbl>
      <w:tblPr>
        <w:tblStyle w:val="GridTable1Light-Accent4"/>
        <w:tblW w:w="5000" w:type="pct"/>
        <w:tblLook w:val="04A0" w:firstRow="1" w:lastRow="0" w:firstColumn="1" w:lastColumn="0" w:noHBand="0" w:noVBand="1"/>
      </w:tblPr>
      <w:tblGrid>
        <w:gridCol w:w="2828"/>
        <w:gridCol w:w="6568"/>
      </w:tblGrid>
      <w:tr w:rsidR="00E157A6" w14:paraId="5E33F033" w14:textId="77777777" w:rsidTr="007C2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5" w:type="pct"/>
            <w:tcBorders>
              <w:top w:val="single" w:sz="4" w:space="0" w:color="FFE599" w:themeColor="accent4" w:themeTint="66"/>
              <w:bottom w:val="single" w:sz="4" w:space="0" w:color="FFE599" w:themeColor="accent4" w:themeTint="66"/>
            </w:tcBorders>
            <w:vAlign w:val="center"/>
          </w:tcPr>
          <w:p w14:paraId="3E2C4909" w14:textId="77777777" w:rsidR="00E157A6" w:rsidRDefault="00E157A6" w:rsidP="007C298B">
            <w:r>
              <w:t xml:space="preserve">Евидентирање </w:t>
            </w:r>
            <w:r w:rsidRPr="00E157A6">
              <w:t>ликвидационе вредности имовине у ЕФИ-ју</w:t>
            </w:r>
          </w:p>
          <w:p w14:paraId="038A2674" w14:textId="77777777" w:rsidR="00A34DF5" w:rsidRDefault="00A34DF5" w:rsidP="007C298B"/>
          <w:p w14:paraId="65F1DBD2" w14:textId="77777777" w:rsidR="00A34DF5" w:rsidRDefault="00A34DF5" w:rsidP="007C298B"/>
          <w:p w14:paraId="0A8B0386" w14:textId="77777777" w:rsidR="00A34DF5" w:rsidRDefault="00A34DF5" w:rsidP="007C298B"/>
          <w:p w14:paraId="1212E54D" w14:textId="77777777" w:rsidR="00A34DF5" w:rsidRDefault="00A34DF5" w:rsidP="007C298B"/>
          <w:p w14:paraId="52693E70" w14:textId="77777777" w:rsidR="00A34DF5" w:rsidRDefault="00A34DF5" w:rsidP="007C298B"/>
          <w:p w14:paraId="2A8D3D82" w14:textId="77777777" w:rsidR="00A34DF5" w:rsidRDefault="00A34DF5" w:rsidP="007C298B"/>
          <w:p w14:paraId="077D7082" w14:textId="77777777" w:rsidR="00A34DF5" w:rsidRDefault="00A34DF5" w:rsidP="007C298B"/>
          <w:p w14:paraId="7251DB41" w14:textId="77777777" w:rsidR="00A34DF5" w:rsidRDefault="00A34DF5" w:rsidP="007C298B"/>
          <w:p w14:paraId="49553703" w14:textId="77777777" w:rsidR="00A34DF5" w:rsidRDefault="00A34DF5" w:rsidP="007C298B"/>
          <w:p w14:paraId="652C453B" w14:textId="77777777" w:rsidR="00A34DF5" w:rsidRDefault="00A34DF5" w:rsidP="007C298B"/>
          <w:p w14:paraId="6E68CBC9" w14:textId="77777777" w:rsidR="00A34DF5" w:rsidRDefault="00A34DF5" w:rsidP="007C298B"/>
          <w:p w14:paraId="79F38898" w14:textId="77777777" w:rsidR="00A34DF5" w:rsidRDefault="00A34DF5" w:rsidP="007C298B"/>
          <w:p w14:paraId="0E3DDB68" w14:textId="43FAB1F7" w:rsidR="00A34DF5" w:rsidRDefault="00A34DF5" w:rsidP="007C298B">
            <w:r>
              <w:t>Књиговодствена вредност у ЕФИ-ју</w:t>
            </w:r>
          </w:p>
        </w:tc>
        <w:tc>
          <w:tcPr>
            <w:tcW w:w="3495" w:type="pct"/>
            <w:tcBorders>
              <w:top w:val="single" w:sz="4" w:space="0" w:color="FFE599" w:themeColor="accent4" w:themeTint="66"/>
              <w:bottom w:val="single" w:sz="4" w:space="0" w:color="FFE599" w:themeColor="accent4" w:themeTint="66"/>
            </w:tcBorders>
            <w:vAlign w:val="center"/>
          </w:tcPr>
          <w:p w14:paraId="46FF6ECB" w14:textId="77777777" w:rsidR="008E2159" w:rsidRDefault="008E2159" w:rsidP="007C298B">
            <w:pPr>
              <w:cnfStyle w:val="100000000000" w:firstRow="1" w:lastRow="0" w:firstColumn="0" w:lastColumn="0" w:oddVBand="0" w:evenVBand="0" w:oddHBand="0" w:evenHBand="0" w:firstRowFirstColumn="0" w:firstRowLastColumn="0" w:lastRowFirstColumn="0" w:lastRowLastColumn="0"/>
              <w:rPr>
                <w:b w:val="0"/>
              </w:rPr>
            </w:pPr>
          </w:p>
          <w:p w14:paraId="3CFA92DD" w14:textId="1B345EF1" w:rsidR="00E157A6" w:rsidRDefault="00E157A6" w:rsidP="007C298B">
            <w:pPr>
              <w:cnfStyle w:val="100000000000" w:firstRow="1" w:lastRow="0" w:firstColumn="0" w:lastColumn="0" w:oddVBand="0" w:evenVBand="0" w:oddHBand="0" w:evenHBand="0" w:firstRowFirstColumn="0" w:firstRowLastColumn="0" w:lastRowFirstColumn="0" w:lastRowLastColumn="0"/>
              <w:rPr>
                <w:b w:val="0"/>
              </w:rPr>
            </w:pPr>
            <w:r w:rsidRPr="00E157A6">
              <w:rPr>
                <w:b w:val="0"/>
              </w:rPr>
              <w:t>У коментару је потребно навести ко је и када извршио процену вредности имовине стечајног дужника</w:t>
            </w:r>
            <w:r w:rsidR="008E2159">
              <w:rPr>
                <w:b w:val="0"/>
              </w:rPr>
              <w:t>.</w:t>
            </w:r>
          </w:p>
          <w:p w14:paraId="58660936" w14:textId="77777777" w:rsidR="00E157A6" w:rsidRDefault="00E157A6" w:rsidP="007C298B">
            <w:pPr>
              <w:cnfStyle w:val="100000000000" w:firstRow="1" w:lastRow="0" w:firstColumn="0" w:lastColumn="0" w:oddVBand="0" w:evenVBand="0" w:oddHBand="0" w:evenHBand="0" w:firstRowFirstColumn="0" w:firstRowLastColumn="0" w:lastRowFirstColumn="0" w:lastRowLastColumn="0"/>
              <w:rPr>
                <w:b w:val="0"/>
              </w:rPr>
            </w:pPr>
          </w:p>
          <w:p w14:paraId="00F73B8B" w14:textId="77777777" w:rsidR="00E157A6" w:rsidRDefault="00E157A6" w:rsidP="00E157A6">
            <w:pPr>
              <w:jc w:val="both"/>
              <w:cnfStyle w:val="100000000000" w:firstRow="1" w:lastRow="0" w:firstColumn="0" w:lastColumn="0" w:oddVBand="0" w:evenVBand="0" w:oddHBand="0" w:evenHBand="0" w:firstRowFirstColumn="0" w:firstRowLastColumn="0" w:lastRowFirstColumn="0" w:lastRowLastColumn="0"/>
              <w:rPr>
                <w:b w:val="0"/>
              </w:rPr>
            </w:pPr>
            <w:r w:rsidRPr="00E157A6">
              <w:rPr>
                <w:b w:val="0"/>
              </w:rPr>
              <w:t xml:space="preserve">Када је ликвидациона вредност конкретне имовине одређена у износу од </w:t>
            </w:r>
            <w:r w:rsidRPr="008E2159">
              <w:rPr>
                <w:b w:val="0"/>
                <w:color w:val="ED7D31" w:themeColor="accent2"/>
              </w:rPr>
              <w:t xml:space="preserve">0,00 динара </w:t>
            </w:r>
            <w:r w:rsidRPr="00E157A6">
              <w:rPr>
                <w:b w:val="0"/>
              </w:rPr>
              <w:t>или када је једнака књиговодственој вредности - коментар је обавезан, како би суд, повериоци и Агенција били информисани да ли је имовина пописана и њена вредност процењена од стране стечајног управника.</w:t>
            </w:r>
          </w:p>
          <w:p w14:paraId="7AFB3363" w14:textId="77777777" w:rsidR="00A34DF5" w:rsidRDefault="00A34DF5" w:rsidP="00A34DF5">
            <w:pPr>
              <w:jc w:val="both"/>
              <w:cnfStyle w:val="100000000000" w:firstRow="1" w:lastRow="0" w:firstColumn="0" w:lastColumn="0" w:oddVBand="0" w:evenVBand="0" w:oddHBand="0" w:evenHBand="0" w:firstRowFirstColumn="0" w:firstRowLastColumn="0" w:lastRowFirstColumn="0" w:lastRowLastColumn="0"/>
              <w:rPr>
                <w:b w:val="0"/>
              </w:rPr>
            </w:pPr>
          </w:p>
          <w:p w14:paraId="2F55FD0B" w14:textId="7D13C861" w:rsidR="00A34DF5" w:rsidRDefault="00A34DF5" w:rsidP="00A34DF5">
            <w:pPr>
              <w:jc w:val="both"/>
              <w:cnfStyle w:val="100000000000" w:firstRow="1" w:lastRow="0" w:firstColumn="0" w:lastColumn="0" w:oddVBand="0" w:evenVBand="0" w:oddHBand="0" w:evenHBand="0" w:firstRowFirstColumn="0" w:firstRowLastColumn="0" w:lastRowFirstColumn="0" w:lastRowLastColumn="0"/>
              <w:rPr>
                <w:b w:val="0"/>
              </w:rPr>
            </w:pPr>
            <w:r>
              <w:rPr>
                <w:b w:val="0"/>
              </w:rPr>
              <w:t>Такође</w:t>
            </w:r>
            <w:r w:rsidRPr="00A34DF5">
              <w:rPr>
                <w:b w:val="0"/>
              </w:rPr>
              <w:t>, одредбама истог стандарда прописано је којој имовини се може доделити ликвидациона вредност од 0,00 динара (имовина којом се не тргује на предметном тржишту и за коју се не очекује да се за њу може наћи заинтересовани купац), у којим случајевима је коментар обавезан.</w:t>
            </w:r>
          </w:p>
          <w:p w14:paraId="32787690" w14:textId="77777777" w:rsidR="00A34DF5" w:rsidRPr="00A34DF5" w:rsidRDefault="00A34DF5" w:rsidP="00A34DF5">
            <w:pPr>
              <w:jc w:val="both"/>
              <w:cnfStyle w:val="100000000000" w:firstRow="1" w:lastRow="0" w:firstColumn="0" w:lastColumn="0" w:oddVBand="0" w:evenVBand="0" w:oddHBand="0" w:evenHBand="0" w:firstRowFirstColumn="0" w:firstRowLastColumn="0" w:lastRowFirstColumn="0" w:lastRowLastColumn="0"/>
              <w:rPr>
                <w:b w:val="0"/>
              </w:rPr>
            </w:pPr>
          </w:p>
          <w:p w14:paraId="577F336A" w14:textId="46AD4C49" w:rsidR="00A34DF5" w:rsidRPr="00E157A6" w:rsidRDefault="00A34DF5" w:rsidP="00A34DF5">
            <w:pPr>
              <w:jc w:val="both"/>
              <w:cnfStyle w:val="100000000000" w:firstRow="1" w:lastRow="0" w:firstColumn="0" w:lastColumn="0" w:oddVBand="0" w:evenVBand="0" w:oddHBand="0" w:evenHBand="0" w:firstRowFirstColumn="0" w:firstRowLastColumn="0" w:lastRowFirstColumn="0" w:lastRowLastColumn="0"/>
              <w:rPr>
                <w:b w:val="0"/>
              </w:rPr>
            </w:pPr>
            <w:r>
              <w:rPr>
                <w:b w:val="0"/>
              </w:rPr>
              <w:t xml:space="preserve">Поред тога, </w:t>
            </w:r>
            <w:r w:rsidRPr="00A34DF5">
              <w:rPr>
                <w:b w:val="0"/>
              </w:rPr>
              <w:t xml:space="preserve">напомињемо да је у пракси и даље чест случај да стечајни управници одређују ликвидациону вредност земљишта које стечајни дужник користи, што </w:t>
            </w:r>
            <w:r w:rsidR="003A14C8">
              <w:rPr>
                <w:b w:val="0"/>
              </w:rPr>
              <w:t>представља неправилност</w:t>
            </w:r>
            <w:r w:rsidRPr="00A34DF5">
              <w:rPr>
                <w:b w:val="0"/>
              </w:rPr>
              <w:t xml:space="preserve"> у раду стечајног управника.</w:t>
            </w:r>
          </w:p>
          <w:p w14:paraId="3CD48E9D" w14:textId="77777777" w:rsidR="00E157A6" w:rsidRPr="00E157A6" w:rsidRDefault="00E157A6" w:rsidP="00E157A6">
            <w:pPr>
              <w:jc w:val="both"/>
              <w:cnfStyle w:val="100000000000" w:firstRow="1" w:lastRow="0" w:firstColumn="0" w:lastColumn="0" w:oddVBand="0" w:evenVBand="0" w:oddHBand="0" w:evenHBand="0" w:firstRowFirstColumn="0" w:firstRowLastColumn="0" w:lastRowFirstColumn="0" w:lastRowLastColumn="0"/>
              <w:rPr>
                <w:b w:val="0"/>
              </w:rPr>
            </w:pPr>
          </w:p>
          <w:p w14:paraId="7F4F5BA0" w14:textId="77777777" w:rsidR="00A34DF5" w:rsidRDefault="00E157A6" w:rsidP="00E157A6">
            <w:pPr>
              <w:jc w:val="both"/>
              <w:cnfStyle w:val="100000000000" w:firstRow="1" w:lastRow="0" w:firstColumn="0" w:lastColumn="0" w:oddVBand="0" w:evenVBand="0" w:oddHBand="0" w:evenHBand="0" w:firstRowFirstColumn="0" w:firstRowLastColumn="0" w:lastRowFirstColumn="0" w:lastRowLastColumn="0"/>
              <w:rPr>
                <w:b w:val="0"/>
              </w:rPr>
            </w:pPr>
            <w:r w:rsidRPr="00E157A6">
              <w:rPr>
                <w:b w:val="0"/>
              </w:rPr>
              <w:t xml:space="preserve">С тим у вези, посебно напомињемо да је одредбама Националног стандарда број 2 прописано да се </w:t>
            </w:r>
            <w:r w:rsidRPr="008E2159">
              <w:rPr>
                <w:b w:val="0"/>
                <w:color w:val="ED7D31" w:themeColor="accent2"/>
              </w:rPr>
              <w:t>књиговодствена вредност имовине стечајног дужника не узима у обзир</w:t>
            </w:r>
            <w:r w:rsidRPr="00E157A6">
              <w:rPr>
                <w:b w:val="0"/>
              </w:rPr>
              <w:t xml:space="preserve">, осим у случају када је та вредност од значаја за утврђивање ликвидационе вредности. </w:t>
            </w:r>
          </w:p>
          <w:p w14:paraId="6671FE0E" w14:textId="77777777" w:rsidR="00A34DF5" w:rsidRDefault="00A34DF5" w:rsidP="00E157A6">
            <w:pPr>
              <w:jc w:val="both"/>
              <w:cnfStyle w:val="100000000000" w:firstRow="1" w:lastRow="0" w:firstColumn="0" w:lastColumn="0" w:oddVBand="0" w:evenVBand="0" w:oddHBand="0" w:evenHBand="0" w:firstRowFirstColumn="0" w:firstRowLastColumn="0" w:lastRowFirstColumn="0" w:lastRowLastColumn="0"/>
              <w:rPr>
                <w:b w:val="0"/>
              </w:rPr>
            </w:pPr>
          </w:p>
          <w:p w14:paraId="27B3EE95" w14:textId="227B1219" w:rsidR="00E157A6" w:rsidRDefault="00E157A6" w:rsidP="00E157A6">
            <w:pPr>
              <w:jc w:val="both"/>
              <w:cnfStyle w:val="100000000000" w:firstRow="1" w:lastRow="0" w:firstColumn="0" w:lastColumn="0" w:oddVBand="0" w:evenVBand="0" w:oddHBand="0" w:evenHBand="0" w:firstRowFirstColumn="0" w:firstRowLastColumn="0" w:lastRowFirstColumn="0" w:lastRowLastColumn="0"/>
              <w:rPr>
                <w:b w:val="0"/>
              </w:rPr>
            </w:pPr>
            <w:r w:rsidRPr="00E157A6">
              <w:rPr>
                <w:b w:val="0"/>
              </w:rPr>
              <w:t>Имајући у виду наведено, обавезно је у коментару навести разлоге стечајног управника из којих је сматрао/ла да је ликвидациона вредност конкретне имовине једнака књиговодственој.</w:t>
            </w:r>
          </w:p>
          <w:p w14:paraId="535AD1EA" w14:textId="6CFCE56E" w:rsidR="00E157A6" w:rsidRPr="00E157A6" w:rsidRDefault="00E157A6" w:rsidP="00A34DF5">
            <w:pPr>
              <w:jc w:val="both"/>
              <w:cnfStyle w:val="100000000000" w:firstRow="1" w:lastRow="0" w:firstColumn="0" w:lastColumn="0" w:oddVBand="0" w:evenVBand="0" w:oddHBand="0" w:evenHBand="0" w:firstRowFirstColumn="0" w:firstRowLastColumn="0" w:lastRowFirstColumn="0" w:lastRowLastColumn="0"/>
              <w:rPr>
                <w:b w:val="0"/>
              </w:rPr>
            </w:pPr>
          </w:p>
        </w:tc>
      </w:tr>
    </w:tbl>
    <w:p w14:paraId="72966216" w14:textId="77777777" w:rsidR="00E157A6" w:rsidRDefault="00E157A6" w:rsidP="00F47592">
      <w:pPr>
        <w:jc w:val="both"/>
      </w:pPr>
    </w:p>
    <w:p w14:paraId="734959E7" w14:textId="033EEE90" w:rsidR="00F47592" w:rsidRPr="00433CDA" w:rsidRDefault="00043014" w:rsidP="00F47592">
      <w:pPr>
        <w:ind w:left="720"/>
        <w:jc w:val="both"/>
        <w:rPr>
          <w:rFonts w:cstheme="minorHAnsi"/>
          <w:i/>
          <w:color w:val="FF0000"/>
          <w:sz w:val="21"/>
          <w:szCs w:val="21"/>
          <w:u w:val="single"/>
        </w:rPr>
      </w:pPr>
      <w:r>
        <w:rPr>
          <w:rFonts w:cstheme="minorHAnsi"/>
          <w:i/>
          <w:color w:val="FF0000"/>
          <w:sz w:val="21"/>
          <w:szCs w:val="21"/>
          <w:u w:val="single"/>
        </w:rPr>
        <w:t>Надзор</w:t>
      </w:r>
      <w:r w:rsidR="00F47592">
        <w:rPr>
          <w:rFonts w:cstheme="minorHAnsi"/>
          <w:i/>
          <w:color w:val="FF0000"/>
          <w:sz w:val="21"/>
          <w:szCs w:val="21"/>
          <w:u w:val="single"/>
        </w:rPr>
        <w:t xml:space="preserve"> - пример</w:t>
      </w:r>
    </w:p>
    <w:p w14:paraId="600AEC86" w14:textId="77777777" w:rsidR="00F47592" w:rsidRPr="00E76BA9" w:rsidRDefault="00F47592" w:rsidP="00F47592">
      <w:pPr>
        <w:ind w:left="720"/>
        <w:jc w:val="both"/>
        <w:rPr>
          <w:i/>
          <w:color w:val="FF0000"/>
        </w:rPr>
      </w:pPr>
      <w:r>
        <w:rPr>
          <w:i/>
          <w:color w:val="FF0000"/>
        </w:rPr>
        <w:t>...</w:t>
      </w:r>
      <w:r w:rsidRPr="00E76BA9">
        <w:rPr>
          <w:i/>
          <w:color w:val="FF0000"/>
        </w:rPr>
        <w:t xml:space="preserve">у вези са проценом вредности имовине, стечајни управник је у ЕФИ-ју навео да је користио књиговодствену вредност као основ за одређивање ликвидационе вредности објеката. Међутим, ни у ЕФИ-ју, као ни у изјашњењу по позиву супервизора није изнео разлоге због којих је књиговодствена вредност значајна за утврђивање ликвидационе вредности, већ је навео сасвим други разлог, и то недостатак стручног знања и намеру </w:t>
      </w:r>
      <w:r w:rsidRPr="00E76BA9">
        <w:rPr>
          <w:i/>
          <w:color w:val="FF0000"/>
        </w:rPr>
        <w:lastRenderedPageBreak/>
        <w:t>ангажовања судског вештака ради процене вредности имовине, чиме није поступио са пажњом доброг стручњака, савесно и професионално у смислу цитираних одредаба члана 27. став 4. Закона о стечају, а у вези са цитираним одредбама 106. став 1. Закона о стечају и Националног стандарда број 2.</w:t>
      </w:r>
    </w:p>
    <w:p w14:paraId="1E20C964" w14:textId="77777777" w:rsidR="00F47592" w:rsidRPr="00E76BA9" w:rsidRDefault="00F47592" w:rsidP="00F47592">
      <w:pPr>
        <w:ind w:left="720"/>
        <w:jc w:val="both"/>
        <w:rPr>
          <w:i/>
          <w:color w:val="FF0000"/>
        </w:rPr>
      </w:pPr>
      <w:r w:rsidRPr="00E76BA9">
        <w:rPr>
          <w:i/>
          <w:color w:val="FF0000"/>
        </w:rPr>
        <w:t>Цењени су ови наводи стечајног управника, али су исти без утицаја на утврђивање одговорности стечајног управника у конкретном случају, из разлога што се књиговодствена вредност имовине стечајног дужника узима у обзир само у случају када је та вредност од значаја за утврђивање ликвидационе вредности, јер процена ликвидационе вредности треба да буде заснована на најпоузданијим расположивим подацима у тренутку процене. У сваком случају,  стечајни управник је могао да ангажује стручно лице ради процене имовине, уз сагласност стечајног судије, како би суду и повериоцима биле представљене информације о економско-финансијском стању стечајног дужника на дан отварања стечајног поступка на основу којих стечајни повериоци одлучују о начину спровођења стечајног поступка.</w:t>
      </w:r>
    </w:p>
    <w:tbl>
      <w:tblPr>
        <w:tblStyle w:val="GridTable1Light-Accent4"/>
        <w:tblW w:w="5000" w:type="pct"/>
        <w:tblLook w:val="04A0" w:firstRow="1" w:lastRow="0" w:firstColumn="1" w:lastColumn="0" w:noHBand="0" w:noVBand="1"/>
      </w:tblPr>
      <w:tblGrid>
        <w:gridCol w:w="2828"/>
        <w:gridCol w:w="6568"/>
      </w:tblGrid>
      <w:tr w:rsidR="00A34DF5" w:rsidRPr="00E157A6" w14:paraId="2610B2CA" w14:textId="77777777" w:rsidTr="00A34DF5">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5" w:type="pct"/>
            <w:tcBorders>
              <w:top w:val="single" w:sz="4" w:space="0" w:color="FFE599" w:themeColor="accent4" w:themeTint="66"/>
              <w:bottom w:val="single" w:sz="4" w:space="0" w:color="FFE599" w:themeColor="accent4" w:themeTint="66"/>
            </w:tcBorders>
            <w:vAlign w:val="center"/>
          </w:tcPr>
          <w:p w14:paraId="3170988E" w14:textId="336008B7" w:rsidR="00A34DF5" w:rsidRDefault="00A34DF5" w:rsidP="007C298B">
            <w:r>
              <w:t>Евидентирање</w:t>
            </w:r>
            <w:r w:rsidRPr="00A34DF5">
              <w:t xml:space="preserve"> потраживања стечајног дужника у ЕФИ-ју</w:t>
            </w:r>
          </w:p>
        </w:tc>
        <w:tc>
          <w:tcPr>
            <w:tcW w:w="3495" w:type="pct"/>
            <w:tcBorders>
              <w:top w:val="single" w:sz="4" w:space="0" w:color="FFE599" w:themeColor="accent4" w:themeTint="66"/>
              <w:bottom w:val="single" w:sz="4" w:space="0" w:color="FFE599" w:themeColor="accent4" w:themeTint="66"/>
            </w:tcBorders>
            <w:vAlign w:val="center"/>
          </w:tcPr>
          <w:p w14:paraId="7827F658" w14:textId="77777777" w:rsidR="00A34DF5" w:rsidRDefault="00A34DF5" w:rsidP="00A34DF5">
            <w:pPr>
              <w:cnfStyle w:val="100000000000" w:firstRow="1" w:lastRow="0" w:firstColumn="0" w:lastColumn="0" w:oddVBand="0" w:evenVBand="0" w:oddHBand="0" w:evenHBand="0" w:firstRowFirstColumn="0" w:firstRowLastColumn="0" w:lastRowFirstColumn="0" w:lastRowLastColumn="0"/>
              <w:rPr>
                <w:b w:val="0"/>
              </w:rPr>
            </w:pPr>
          </w:p>
          <w:p w14:paraId="66B9331A" w14:textId="79DFD323" w:rsidR="00A34DF5" w:rsidRDefault="00A34DF5" w:rsidP="005B4E9A">
            <w:pPr>
              <w:cnfStyle w:val="100000000000" w:firstRow="1" w:lastRow="0" w:firstColumn="0" w:lastColumn="0" w:oddVBand="0" w:evenVBand="0" w:oddHBand="0" w:evenHBand="0" w:firstRowFirstColumn="0" w:firstRowLastColumn="0" w:lastRowFirstColumn="0" w:lastRowLastColumn="0"/>
              <w:rPr>
                <w:b w:val="0"/>
              </w:rPr>
            </w:pPr>
            <w:r>
              <w:rPr>
                <w:b w:val="0"/>
              </w:rPr>
              <w:t>П</w:t>
            </w:r>
            <w:r w:rsidRPr="00A34DF5">
              <w:rPr>
                <w:b w:val="0"/>
              </w:rPr>
              <w:t>отребно је одредити ликвидациону вредност потраживањ</w:t>
            </w:r>
            <w:r>
              <w:rPr>
                <w:b w:val="0"/>
              </w:rPr>
              <w:t>а</w:t>
            </w:r>
            <w:r w:rsidR="005B4E9A">
              <w:rPr>
                <w:b w:val="0"/>
              </w:rPr>
              <w:t>, односно п</w:t>
            </w:r>
            <w:r w:rsidR="005B4E9A" w:rsidRPr="005B4E9A">
              <w:rPr>
                <w:b w:val="0"/>
              </w:rPr>
              <w:t>редвиђени проценат наплате</w:t>
            </w:r>
            <w:r w:rsidR="005B4E9A">
              <w:rPr>
                <w:b w:val="0"/>
              </w:rPr>
              <w:t xml:space="preserve"> </w:t>
            </w:r>
            <w:r w:rsidR="005B4E9A" w:rsidRPr="005B4E9A">
              <w:rPr>
                <w:b w:val="0"/>
              </w:rPr>
              <w:t>потраживања</w:t>
            </w:r>
            <w:r w:rsidR="005B4E9A">
              <w:rPr>
                <w:b w:val="0"/>
              </w:rPr>
              <w:t>, као</w:t>
            </w:r>
            <w:r w:rsidRPr="00A34DF5">
              <w:rPr>
                <w:b w:val="0"/>
              </w:rPr>
              <w:t xml:space="preserve"> резултат претходно извршене анализе на основу расположивих података, и то </w:t>
            </w:r>
            <w:r w:rsidRPr="008E2159">
              <w:rPr>
                <w:b w:val="0"/>
                <w:color w:val="ED7D31" w:themeColor="accent2"/>
              </w:rPr>
              <w:t>сваког појединачног потраживања посебно</w:t>
            </w:r>
            <w:r w:rsidRPr="00A34DF5">
              <w:rPr>
                <w:b w:val="0"/>
              </w:rPr>
              <w:t xml:space="preserve">. </w:t>
            </w:r>
          </w:p>
          <w:p w14:paraId="4D27E786" w14:textId="77777777" w:rsidR="00A34DF5" w:rsidRPr="00A34DF5" w:rsidRDefault="00A34DF5" w:rsidP="00A34DF5">
            <w:pPr>
              <w:cnfStyle w:val="100000000000" w:firstRow="1" w:lastRow="0" w:firstColumn="0" w:lastColumn="0" w:oddVBand="0" w:evenVBand="0" w:oddHBand="0" w:evenHBand="0" w:firstRowFirstColumn="0" w:firstRowLastColumn="0" w:lastRowFirstColumn="0" w:lastRowLastColumn="0"/>
              <w:rPr>
                <w:b w:val="0"/>
              </w:rPr>
            </w:pPr>
          </w:p>
          <w:p w14:paraId="69EA574A" w14:textId="0FF65964" w:rsidR="00A34DF5" w:rsidRDefault="00A34DF5" w:rsidP="00A34DF5">
            <w:pPr>
              <w:cnfStyle w:val="100000000000" w:firstRow="1" w:lastRow="0" w:firstColumn="0" w:lastColumn="0" w:oddVBand="0" w:evenVBand="0" w:oddHBand="0" w:evenHBand="0" w:firstRowFirstColumn="0" w:firstRowLastColumn="0" w:lastRowFirstColumn="0" w:lastRowLastColumn="0"/>
              <w:rPr>
                <w:b w:val="0"/>
              </w:rPr>
            </w:pPr>
            <w:r w:rsidRPr="00A34DF5">
              <w:rPr>
                <w:b w:val="0"/>
              </w:rPr>
              <w:t>У пракси стечајни управници често одређују ли</w:t>
            </w:r>
            <w:r>
              <w:rPr>
                <w:b w:val="0"/>
              </w:rPr>
              <w:t>квидациону вредност потраживања одређивањем</w:t>
            </w:r>
            <w:r w:rsidRPr="00A34DF5">
              <w:rPr>
                <w:b w:val="0"/>
              </w:rPr>
              <w:t xml:space="preserve"> </w:t>
            </w:r>
            <w:r w:rsidR="008E2159" w:rsidRPr="008E2159">
              <w:rPr>
                <w:b w:val="0"/>
                <w:color w:val="ED7D31" w:themeColor="accent2"/>
              </w:rPr>
              <w:t xml:space="preserve">процента наплате </w:t>
            </w:r>
            <w:r w:rsidRPr="008E2159">
              <w:rPr>
                <w:b w:val="0"/>
                <w:color w:val="ED7D31" w:themeColor="accent2"/>
              </w:rPr>
              <w:t>од 0,00% и</w:t>
            </w:r>
            <w:r w:rsidR="005B4E9A" w:rsidRPr="008E2159">
              <w:rPr>
                <w:b w:val="0"/>
                <w:color w:val="ED7D31" w:themeColor="accent2"/>
              </w:rPr>
              <w:t>ли</w:t>
            </w:r>
            <w:r w:rsidRPr="008E2159">
              <w:rPr>
                <w:b w:val="0"/>
                <w:color w:val="ED7D31" w:themeColor="accent2"/>
              </w:rPr>
              <w:t xml:space="preserve"> 100,00%</w:t>
            </w:r>
            <w:r w:rsidR="005B4E9A">
              <w:rPr>
                <w:b w:val="0"/>
              </w:rPr>
              <w:t xml:space="preserve">. Према резултатима надзора, </w:t>
            </w:r>
            <w:r>
              <w:rPr>
                <w:b w:val="0"/>
              </w:rPr>
              <w:t xml:space="preserve">у великом броју случајева </w:t>
            </w:r>
            <w:r w:rsidR="005B4E9A">
              <w:rPr>
                <w:b w:val="0"/>
              </w:rPr>
              <w:t xml:space="preserve">је утврђено да заправо није ни била извршена анализа, односно процена ликвидационе вредности потраживања од стране стечајног управника, већ је </w:t>
            </w:r>
            <w:r w:rsidR="00074C95">
              <w:rPr>
                <w:b w:val="0"/>
              </w:rPr>
              <w:t>иста</w:t>
            </w:r>
            <w:r w:rsidR="005B4E9A">
              <w:rPr>
                <w:b w:val="0"/>
              </w:rPr>
              <w:t xml:space="preserve"> неосновано одређена, што </w:t>
            </w:r>
            <w:r w:rsidR="003A14C8">
              <w:rPr>
                <w:b w:val="0"/>
              </w:rPr>
              <w:t>представља</w:t>
            </w:r>
            <w:r w:rsidR="005B4E9A">
              <w:rPr>
                <w:b w:val="0"/>
              </w:rPr>
              <w:t xml:space="preserve"> неправилност у раду стечајног управника</w:t>
            </w:r>
            <w:r w:rsidRPr="00A34DF5">
              <w:rPr>
                <w:b w:val="0"/>
              </w:rPr>
              <w:t>.</w:t>
            </w:r>
          </w:p>
          <w:p w14:paraId="0EE9E882" w14:textId="77777777" w:rsidR="00A34DF5" w:rsidRPr="00A34DF5" w:rsidRDefault="00A34DF5" w:rsidP="00A34DF5">
            <w:pPr>
              <w:cnfStyle w:val="100000000000" w:firstRow="1" w:lastRow="0" w:firstColumn="0" w:lastColumn="0" w:oddVBand="0" w:evenVBand="0" w:oddHBand="0" w:evenHBand="0" w:firstRowFirstColumn="0" w:firstRowLastColumn="0" w:lastRowFirstColumn="0" w:lastRowLastColumn="0"/>
              <w:rPr>
                <w:b w:val="0"/>
              </w:rPr>
            </w:pPr>
          </w:p>
          <w:p w14:paraId="1A908660" w14:textId="7F7E1C84" w:rsidR="00A34DF5" w:rsidRPr="00A34DF5" w:rsidRDefault="00A34DF5" w:rsidP="00A34DF5">
            <w:pPr>
              <w:cnfStyle w:val="100000000000" w:firstRow="1" w:lastRow="0" w:firstColumn="0" w:lastColumn="0" w:oddVBand="0" w:evenVBand="0" w:oddHBand="0" w:evenHBand="0" w:firstRowFirstColumn="0" w:firstRowLastColumn="0" w:lastRowFirstColumn="0" w:lastRowLastColumn="0"/>
              <w:rPr>
                <w:b w:val="0"/>
              </w:rPr>
            </w:pPr>
            <w:r w:rsidRPr="00A34DF5">
              <w:rPr>
                <w:b w:val="0"/>
              </w:rPr>
              <w:t>Као резултат непрофесионалног одређивања лик</w:t>
            </w:r>
            <w:r w:rsidR="00ED1F98">
              <w:rPr>
                <w:b w:val="0"/>
              </w:rPr>
              <w:t>видационе вредности потраживања, односно предвиђеног процен</w:t>
            </w:r>
            <w:r w:rsidR="00ED1F98" w:rsidRPr="005B4E9A">
              <w:rPr>
                <w:b w:val="0"/>
              </w:rPr>
              <w:t>т</w:t>
            </w:r>
            <w:r w:rsidR="00ED1F98">
              <w:rPr>
                <w:b w:val="0"/>
              </w:rPr>
              <w:t>а</w:t>
            </w:r>
            <w:r w:rsidR="00ED1F98" w:rsidRPr="005B4E9A">
              <w:rPr>
                <w:b w:val="0"/>
              </w:rPr>
              <w:t xml:space="preserve"> наплате</w:t>
            </w:r>
            <w:r w:rsidR="00ED1F98">
              <w:rPr>
                <w:b w:val="0"/>
              </w:rPr>
              <w:t xml:space="preserve"> </w:t>
            </w:r>
            <w:r w:rsidR="00ED1F98" w:rsidRPr="005B4E9A">
              <w:rPr>
                <w:b w:val="0"/>
              </w:rPr>
              <w:t>потраживања</w:t>
            </w:r>
            <w:r w:rsidRPr="00A34DF5">
              <w:rPr>
                <w:b w:val="0"/>
              </w:rPr>
              <w:t xml:space="preserve">, веома често се у пракси дешава следеће: </w:t>
            </w:r>
          </w:p>
          <w:p w14:paraId="357FC10E" w14:textId="1C748217" w:rsidR="00A34DF5" w:rsidRPr="00A34DF5" w:rsidRDefault="00A34DF5" w:rsidP="00A34DF5">
            <w:pPr>
              <w:pStyle w:val="ListParagraph"/>
              <w:numPr>
                <w:ilvl w:val="0"/>
                <w:numId w:val="9"/>
              </w:numPr>
              <w:cnfStyle w:val="100000000000" w:firstRow="1" w:lastRow="0" w:firstColumn="0" w:lastColumn="0" w:oddVBand="0" w:evenVBand="0" w:oddHBand="0" w:evenHBand="0" w:firstRowFirstColumn="0" w:firstRowLastColumn="0" w:lastRowFirstColumn="0" w:lastRowLastColumn="0"/>
              <w:rPr>
                <w:b w:val="0"/>
              </w:rPr>
            </w:pPr>
            <w:r w:rsidRPr="00A34DF5">
              <w:rPr>
                <w:b w:val="0"/>
              </w:rPr>
              <w:t xml:space="preserve">(једном, некада и више пута у току стечајног поступка) </w:t>
            </w:r>
            <w:r w:rsidRPr="00043014">
              <w:rPr>
                <w:b w:val="0"/>
              </w:rPr>
              <w:t xml:space="preserve">отпис ненаплаћених потраживања </w:t>
            </w:r>
            <w:r w:rsidRPr="00A34DF5">
              <w:rPr>
                <w:b w:val="0"/>
              </w:rPr>
              <w:t xml:space="preserve">и то у највећој мери оних </w:t>
            </w:r>
            <w:r w:rsidR="003A14C8">
              <w:rPr>
                <w:b w:val="0"/>
              </w:rPr>
              <w:t xml:space="preserve">потраживања </w:t>
            </w:r>
            <w:r w:rsidRPr="00A34DF5">
              <w:rPr>
                <w:b w:val="0"/>
              </w:rPr>
              <w:t xml:space="preserve">којима је </w:t>
            </w:r>
            <w:r w:rsidR="003A14C8">
              <w:rPr>
                <w:b w:val="0"/>
              </w:rPr>
              <w:t>неосновано</w:t>
            </w:r>
            <w:r w:rsidR="00ED1F98">
              <w:rPr>
                <w:b w:val="0"/>
              </w:rPr>
              <w:t xml:space="preserve"> или уопште није</w:t>
            </w:r>
            <w:r w:rsidRPr="00A34DF5">
              <w:rPr>
                <w:b w:val="0"/>
              </w:rPr>
              <w:t xml:space="preserve"> одређена ликвидациона вредн</w:t>
            </w:r>
            <w:r w:rsidR="003A14C8">
              <w:rPr>
                <w:b w:val="0"/>
              </w:rPr>
              <w:t xml:space="preserve">ост (евидентирана у ЕФИ-ју) </w:t>
            </w:r>
          </w:p>
          <w:p w14:paraId="1F79FDF7" w14:textId="46D4CE4B" w:rsidR="008E2159" w:rsidRPr="00435D09" w:rsidRDefault="00ED1F98" w:rsidP="00A34DF5">
            <w:pPr>
              <w:pStyle w:val="ListParagraph"/>
              <w:numPr>
                <w:ilvl w:val="0"/>
                <w:numId w:val="9"/>
              </w:numPr>
              <w:cnfStyle w:val="100000000000" w:firstRow="1" w:lastRow="0" w:firstColumn="0" w:lastColumn="0" w:oddVBand="0" w:evenVBand="0" w:oddHBand="0" w:evenHBand="0" w:firstRowFirstColumn="0" w:firstRowLastColumn="0" w:lastRowFirstColumn="0" w:lastRowLastColumn="0"/>
              <w:rPr>
                <w:b w:val="0"/>
              </w:rPr>
            </w:pPr>
            <w:r>
              <w:rPr>
                <w:b w:val="0"/>
              </w:rPr>
              <w:t xml:space="preserve">да </w:t>
            </w:r>
            <w:r w:rsidR="00A34DF5" w:rsidRPr="00A34DF5">
              <w:rPr>
                <w:b w:val="0"/>
              </w:rPr>
              <w:t>стечајни управници поднесу завршни рачун (са предлогом за закључење стечајног поступка) без евидентирања ненаплаћених потраживања</w:t>
            </w:r>
            <w:r w:rsidR="003A14C8">
              <w:rPr>
                <w:b w:val="0"/>
              </w:rPr>
              <w:t xml:space="preserve"> као преостале имовине која није обухваћена приливима</w:t>
            </w:r>
            <w:r w:rsidR="003A14C8">
              <w:rPr>
                <w:rStyle w:val="FootnoteReference"/>
                <w:b w:val="0"/>
              </w:rPr>
              <w:footnoteReference w:id="5"/>
            </w:r>
            <w:r w:rsidR="00A34DF5" w:rsidRPr="00A34DF5">
              <w:rPr>
                <w:b w:val="0"/>
              </w:rPr>
              <w:t xml:space="preserve">, </w:t>
            </w:r>
            <w:r w:rsidR="00043014">
              <w:rPr>
                <w:b w:val="0"/>
              </w:rPr>
              <w:t>иако иста остају евидентирана у тромесечним извештајима као део стечајне масе</w:t>
            </w:r>
            <w:r>
              <w:rPr>
                <w:b w:val="0"/>
              </w:rPr>
              <w:t>, што представља неправилност у раду стечајног управника</w:t>
            </w:r>
            <w:r w:rsidRPr="00A34DF5">
              <w:rPr>
                <w:b w:val="0"/>
              </w:rPr>
              <w:t>.</w:t>
            </w:r>
          </w:p>
        </w:tc>
      </w:tr>
      <w:tr w:rsidR="00227AA4" w:rsidRPr="00E157A6" w14:paraId="3B80EA3F" w14:textId="77777777" w:rsidTr="00A34DF5">
        <w:tc>
          <w:tcPr>
            <w:cnfStyle w:val="001000000000" w:firstRow="0" w:lastRow="0" w:firstColumn="1" w:lastColumn="0" w:oddVBand="0" w:evenVBand="0" w:oddHBand="0" w:evenHBand="0" w:firstRowFirstColumn="0" w:firstRowLastColumn="0" w:lastRowFirstColumn="0" w:lastRowLastColumn="0"/>
            <w:tcW w:w="1505" w:type="pct"/>
            <w:tcBorders>
              <w:top w:val="single" w:sz="4" w:space="0" w:color="FFE599" w:themeColor="accent4" w:themeTint="66"/>
              <w:bottom w:val="single" w:sz="4" w:space="0" w:color="FFE599" w:themeColor="accent4" w:themeTint="66"/>
            </w:tcBorders>
            <w:vAlign w:val="center"/>
          </w:tcPr>
          <w:p w14:paraId="07E9EFE6" w14:textId="29F65906" w:rsidR="00227AA4" w:rsidRDefault="00227AA4" w:rsidP="00227AA4">
            <w:r>
              <w:lastRenderedPageBreak/>
              <w:t>Евидентирање</w:t>
            </w:r>
            <w:r w:rsidRPr="00A34DF5">
              <w:t xml:space="preserve"> </w:t>
            </w:r>
            <w:r>
              <w:t>закупа</w:t>
            </w:r>
            <w:r w:rsidRPr="00A34DF5">
              <w:t xml:space="preserve"> у ЕФИ-ју</w:t>
            </w:r>
          </w:p>
        </w:tc>
        <w:tc>
          <w:tcPr>
            <w:tcW w:w="3495" w:type="pct"/>
            <w:tcBorders>
              <w:top w:val="single" w:sz="4" w:space="0" w:color="FFE599" w:themeColor="accent4" w:themeTint="66"/>
              <w:bottom w:val="single" w:sz="4" w:space="0" w:color="FFE599" w:themeColor="accent4" w:themeTint="66"/>
            </w:tcBorders>
            <w:vAlign w:val="center"/>
          </w:tcPr>
          <w:p w14:paraId="2137D116" w14:textId="77777777" w:rsidR="00227AA4" w:rsidRDefault="00227AA4" w:rsidP="00A34DF5">
            <w:pPr>
              <w:cnfStyle w:val="000000000000" w:firstRow="0" w:lastRow="0" w:firstColumn="0" w:lastColumn="0" w:oddVBand="0" w:evenVBand="0" w:oddHBand="0" w:evenHBand="0" w:firstRowFirstColumn="0" w:firstRowLastColumn="0" w:lastRowFirstColumn="0" w:lastRowLastColumn="0"/>
            </w:pPr>
          </w:p>
          <w:p w14:paraId="5E7D2FC3" w14:textId="77777777" w:rsidR="00227AA4" w:rsidRPr="008E2159" w:rsidRDefault="00227AA4" w:rsidP="00227AA4">
            <w:pPr>
              <w:jc w:val="both"/>
              <w:cnfStyle w:val="000000000000" w:firstRow="0" w:lastRow="0" w:firstColumn="0" w:lastColumn="0" w:oddVBand="0" w:evenVBand="0" w:oddHBand="0" w:evenHBand="0" w:firstRowFirstColumn="0" w:firstRowLastColumn="0" w:lastRowFirstColumn="0" w:lastRowLastColumn="0"/>
              <w:rPr>
                <w:color w:val="ED7D31" w:themeColor="accent2"/>
              </w:rPr>
            </w:pPr>
            <w:r w:rsidRPr="00227AA4">
              <w:t xml:space="preserve">Предузимање активности по питању закупа - </w:t>
            </w:r>
            <w:r w:rsidRPr="008E2159">
              <w:rPr>
                <w:color w:val="ED7D31" w:themeColor="accent2"/>
              </w:rPr>
              <w:t xml:space="preserve">радња од изузетног значаја </w:t>
            </w:r>
          </w:p>
          <w:p w14:paraId="68B8CC1C" w14:textId="77777777" w:rsidR="00227AA4" w:rsidRDefault="00227AA4" w:rsidP="00227AA4">
            <w:pPr>
              <w:jc w:val="both"/>
              <w:cnfStyle w:val="000000000000" w:firstRow="0" w:lastRow="0" w:firstColumn="0" w:lastColumn="0" w:oddVBand="0" w:evenVBand="0" w:oddHBand="0" w:evenHBand="0" w:firstRowFirstColumn="0" w:firstRowLastColumn="0" w:lastRowFirstColumn="0" w:lastRowLastColumn="0"/>
            </w:pPr>
          </w:p>
          <w:p w14:paraId="5F4EFF49" w14:textId="656B8842" w:rsidR="00227AA4" w:rsidRDefault="00227AA4" w:rsidP="00227AA4">
            <w:pPr>
              <w:jc w:val="both"/>
              <w:cnfStyle w:val="000000000000" w:firstRow="0" w:lastRow="0" w:firstColumn="0" w:lastColumn="0" w:oddVBand="0" w:evenVBand="0" w:oddHBand="0" w:evenHBand="0" w:firstRowFirstColumn="0" w:firstRowLastColumn="0" w:lastRowFirstColumn="0" w:lastRowLastColumn="0"/>
            </w:pPr>
            <w:r>
              <w:t>Како је ЕФИ пресек стања</w:t>
            </w:r>
            <w:r w:rsidRPr="00092137">
              <w:t xml:space="preserve"> </w:t>
            </w:r>
            <w:r>
              <w:t xml:space="preserve">на </w:t>
            </w:r>
            <w:r w:rsidRPr="00092137">
              <w:t>дан отварања стечајног поступка</w:t>
            </w:r>
            <w:r>
              <w:t xml:space="preserve">, потребно је приказати расположиве податке по овом </w:t>
            </w:r>
            <w:r w:rsidR="0006796A">
              <w:t>питању</w:t>
            </w:r>
            <w:r>
              <w:t xml:space="preserve">, а у коментару </w:t>
            </w:r>
            <w:r w:rsidR="0006796A">
              <w:t xml:space="preserve">навести </w:t>
            </w:r>
            <w:r>
              <w:t>предузете активности стечајног управника од именовања, како у погледу уговора о закупу који су закључени у периоду до отварања стечајног поступка, тако и</w:t>
            </w:r>
            <w:r>
              <w:rPr>
                <w:lang w:val="en-US"/>
              </w:rPr>
              <w:t xml:space="preserve"> </w:t>
            </w:r>
            <w:r>
              <w:t>планиране активности у наставку стечајног поступка поступка по том основу.</w:t>
            </w:r>
          </w:p>
          <w:p w14:paraId="69573CBE" w14:textId="77777777" w:rsidR="0006796A" w:rsidRDefault="0006796A" w:rsidP="00227AA4">
            <w:pPr>
              <w:jc w:val="both"/>
              <w:cnfStyle w:val="000000000000" w:firstRow="0" w:lastRow="0" w:firstColumn="0" w:lastColumn="0" w:oddVBand="0" w:evenVBand="0" w:oddHBand="0" w:evenHBand="0" w:firstRowFirstColumn="0" w:firstRowLastColumn="0" w:lastRowFirstColumn="0" w:lastRowLastColumn="0"/>
            </w:pPr>
          </w:p>
          <w:p w14:paraId="74A47320" w14:textId="1F684D02" w:rsidR="00227AA4" w:rsidRDefault="00227AA4" w:rsidP="00227AA4">
            <w:pPr>
              <w:jc w:val="both"/>
              <w:cnfStyle w:val="000000000000" w:firstRow="0" w:lastRow="0" w:firstColumn="0" w:lastColumn="0" w:oddVBand="0" w:evenVBand="0" w:oddHBand="0" w:evenHBand="0" w:firstRowFirstColumn="0" w:firstRowLastColumn="0" w:lastRowFirstColumn="0" w:lastRowLastColumn="0"/>
            </w:pPr>
            <w:r>
              <w:t xml:space="preserve">Надзор над радом стечајних управника је показао да стечајни управници недовољно јасно евидентирају податке у овом делу, те често није јасно да ли су уговори о закупу </w:t>
            </w:r>
            <w:r w:rsidR="00770876">
              <w:t>(</w:t>
            </w:r>
            <w:r>
              <w:t>закључени у периоду до отварања стечајног поступка</w:t>
            </w:r>
            <w:r w:rsidR="00770876">
              <w:t>) након отварања стечајног поступка</w:t>
            </w:r>
            <w:r>
              <w:t xml:space="preserve"> раскинути, анексирани </w:t>
            </w:r>
            <w:r w:rsidR="00043014">
              <w:t xml:space="preserve">или су закључени са другим закупцима, као </w:t>
            </w:r>
            <w:r>
              <w:t xml:space="preserve">и уз чију сагласност и под којим условима. </w:t>
            </w:r>
          </w:p>
          <w:p w14:paraId="34A510C3" w14:textId="27952EF9" w:rsidR="00227AA4" w:rsidRPr="00227AA4" w:rsidRDefault="00227AA4" w:rsidP="00A34DF5">
            <w:pPr>
              <w:cnfStyle w:val="000000000000" w:firstRow="0" w:lastRow="0" w:firstColumn="0" w:lastColumn="0" w:oddVBand="0" w:evenVBand="0" w:oddHBand="0" w:evenHBand="0" w:firstRowFirstColumn="0" w:firstRowLastColumn="0" w:lastRowFirstColumn="0" w:lastRowLastColumn="0"/>
            </w:pPr>
          </w:p>
        </w:tc>
      </w:tr>
      <w:tr w:rsidR="00770876" w:rsidRPr="00E157A6" w14:paraId="06639775" w14:textId="77777777" w:rsidTr="00A34DF5">
        <w:tc>
          <w:tcPr>
            <w:cnfStyle w:val="001000000000" w:firstRow="0" w:lastRow="0" w:firstColumn="1" w:lastColumn="0" w:oddVBand="0" w:evenVBand="0" w:oddHBand="0" w:evenHBand="0" w:firstRowFirstColumn="0" w:firstRowLastColumn="0" w:lastRowFirstColumn="0" w:lastRowLastColumn="0"/>
            <w:tcW w:w="1505" w:type="pct"/>
            <w:tcBorders>
              <w:top w:val="single" w:sz="4" w:space="0" w:color="FFE599" w:themeColor="accent4" w:themeTint="66"/>
              <w:bottom w:val="single" w:sz="4" w:space="0" w:color="FFE599" w:themeColor="accent4" w:themeTint="66"/>
            </w:tcBorders>
            <w:vAlign w:val="center"/>
          </w:tcPr>
          <w:p w14:paraId="65F2018F" w14:textId="716D3082" w:rsidR="00770876" w:rsidRDefault="00770876" w:rsidP="00227AA4">
            <w:r w:rsidRPr="00770876">
              <w:t>Преглед имовине стечајног дужника која је под теретом</w:t>
            </w:r>
          </w:p>
        </w:tc>
        <w:tc>
          <w:tcPr>
            <w:tcW w:w="3495" w:type="pct"/>
            <w:tcBorders>
              <w:top w:val="single" w:sz="4" w:space="0" w:color="FFE599" w:themeColor="accent4" w:themeTint="66"/>
              <w:bottom w:val="single" w:sz="4" w:space="0" w:color="FFE599" w:themeColor="accent4" w:themeTint="66"/>
            </w:tcBorders>
            <w:vAlign w:val="center"/>
          </w:tcPr>
          <w:p w14:paraId="6CB30D04" w14:textId="77777777" w:rsidR="00770876" w:rsidRDefault="00770876" w:rsidP="00770876">
            <w:pPr>
              <w:jc w:val="both"/>
              <w:cnfStyle w:val="000000000000" w:firstRow="0" w:lastRow="0" w:firstColumn="0" w:lastColumn="0" w:oddVBand="0" w:evenVBand="0" w:oddHBand="0" w:evenHBand="0" w:firstRowFirstColumn="0" w:firstRowLastColumn="0" w:lastRowFirstColumn="0" w:lastRowLastColumn="0"/>
            </w:pPr>
          </w:p>
          <w:p w14:paraId="66C33211" w14:textId="77777777" w:rsidR="00770876" w:rsidRDefault="00770876" w:rsidP="00770876">
            <w:pPr>
              <w:jc w:val="both"/>
              <w:cnfStyle w:val="000000000000" w:firstRow="0" w:lastRow="0" w:firstColumn="0" w:lastColumn="0" w:oddVBand="0" w:evenVBand="0" w:oddHBand="0" w:evenHBand="0" w:firstRowFirstColumn="0" w:firstRowLastColumn="0" w:lastRowFirstColumn="0" w:lastRowLastColumn="0"/>
            </w:pPr>
            <w:r>
              <w:t>Подаци који се наводе у овој табели су веома значајни како за сачињавање Почетног стечајног биланса, тако и за даљи ток стечајног поступка.</w:t>
            </w:r>
          </w:p>
          <w:p w14:paraId="2C0738A8" w14:textId="77777777" w:rsidR="00770876" w:rsidRDefault="00770876" w:rsidP="00770876">
            <w:pPr>
              <w:jc w:val="both"/>
              <w:cnfStyle w:val="000000000000" w:firstRow="0" w:lastRow="0" w:firstColumn="0" w:lastColumn="0" w:oddVBand="0" w:evenVBand="0" w:oddHBand="0" w:evenHBand="0" w:firstRowFirstColumn="0" w:firstRowLastColumn="0" w:lastRowFirstColumn="0" w:lastRowLastColumn="0"/>
            </w:pPr>
          </w:p>
          <w:p w14:paraId="696494CF" w14:textId="7F5F0915" w:rsidR="00770876" w:rsidRDefault="00770876" w:rsidP="00770876">
            <w:pPr>
              <w:jc w:val="both"/>
              <w:cnfStyle w:val="000000000000" w:firstRow="0" w:lastRow="0" w:firstColumn="0" w:lastColumn="0" w:oddVBand="0" w:evenVBand="0" w:oddHBand="0" w:evenHBand="0" w:firstRowFirstColumn="0" w:firstRowLastColumn="0" w:lastRowFirstColumn="0" w:lastRowLastColumn="0"/>
            </w:pPr>
            <w:r>
              <w:t>Неопходно је навести расположиве податке</w:t>
            </w:r>
            <w:r w:rsidR="00043014">
              <w:t>, укључујући и оне које су</w:t>
            </w:r>
            <w:r>
              <w:t xml:space="preserve"> добијене од надлежних институција и исте чувати у документацији стечајног дужника, односно стечајног управника.</w:t>
            </w:r>
          </w:p>
          <w:p w14:paraId="2C155595" w14:textId="77777777" w:rsidR="00770876" w:rsidRDefault="00770876" w:rsidP="00770876">
            <w:pPr>
              <w:jc w:val="both"/>
              <w:cnfStyle w:val="000000000000" w:firstRow="0" w:lastRow="0" w:firstColumn="0" w:lastColumn="0" w:oddVBand="0" w:evenVBand="0" w:oddHBand="0" w:evenHBand="0" w:firstRowFirstColumn="0" w:firstRowLastColumn="0" w:lastRowFirstColumn="0" w:lastRowLastColumn="0"/>
            </w:pPr>
          </w:p>
          <w:p w14:paraId="52ADB2D9" w14:textId="7BEC7624" w:rsidR="00770876" w:rsidRDefault="00770876" w:rsidP="00770876">
            <w:pPr>
              <w:jc w:val="both"/>
              <w:cnfStyle w:val="000000000000" w:firstRow="0" w:lastRow="0" w:firstColumn="0" w:lastColumn="0" w:oddVBand="0" w:evenVBand="0" w:oddHBand="0" w:evenHBand="0" w:firstRowFirstColumn="0" w:firstRowLastColumn="0" w:lastRowFirstColumn="0" w:lastRowLastColumn="0"/>
            </w:pPr>
            <w:r>
              <w:t>У случају да</w:t>
            </w:r>
            <w:r w:rsidR="00043014">
              <w:t>,</w:t>
            </w:r>
            <w:r>
              <w:t xml:space="preserve"> до истека рока за израду ЕФИ-ја, надлежне институције не омогуће достављање података, стечајни управник би требало да размотри опцију подношења захтева за одлагање првог поверилачког рочишта.</w:t>
            </w:r>
          </w:p>
          <w:p w14:paraId="1032C2B0" w14:textId="77777777" w:rsidR="00770876" w:rsidRDefault="00770876" w:rsidP="00A34DF5">
            <w:pPr>
              <w:cnfStyle w:val="000000000000" w:firstRow="0" w:lastRow="0" w:firstColumn="0" w:lastColumn="0" w:oddVBand="0" w:evenVBand="0" w:oddHBand="0" w:evenHBand="0" w:firstRowFirstColumn="0" w:firstRowLastColumn="0" w:lastRowFirstColumn="0" w:lastRowLastColumn="0"/>
            </w:pPr>
          </w:p>
        </w:tc>
      </w:tr>
    </w:tbl>
    <w:p w14:paraId="62B3BCF4" w14:textId="77777777" w:rsidR="00F47592" w:rsidRDefault="00F47592" w:rsidP="00F47592"/>
    <w:p w14:paraId="5177BEE1" w14:textId="21647EC4" w:rsidR="00F47592" w:rsidRPr="00433CDA" w:rsidRDefault="00043014" w:rsidP="00F47592">
      <w:pPr>
        <w:ind w:left="720"/>
        <w:jc w:val="both"/>
        <w:rPr>
          <w:rFonts w:cstheme="minorHAnsi"/>
          <w:i/>
          <w:color w:val="FF0000"/>
          <w:sz w:val="21"/>
          <w:szCs w:val="21"/>
          <w:u w:val="single"/>
        </w:rPr>
      </w:pPr>
      <w:r>
        <w:rPr>
          <w:rFonts w:cstheme="minorHAnsi"/>
          <w:i/>
          <w:color w:val="FF0000"/>
          <w:sz w:val="21"/>
          <w:szCs w:val="21"/>
          <w:u w:val="single"/>
        </w:rPr>
        <w:t>Надзор</w:t>
      </w:r>
      <w:r w:rsidR="00F47592">
        <w:rPr>
          <w:rFonts w:cstheme="minorHAnsi"/>
          <w:i/>
          <w:color w:val="FF0000"/>
          <w:sz w:val="21"/>
          <w:szCs w:val="21"/>
          <w:u w:val="single"/>
        </w:rPr>
        <w:t xml:space="preserve"> - пример</w:t>
      </w:r>
    </w:p>
    <w:p w14:paraId="79E28CA2" w14:textId="77777777" w:rsidR="00F47592" w:rsidRPr="00E76BA9" w:rsidRDefault="00F47592" w:rsidP="00F47592">
      <w:pPr>
        <w:ind w:left="720"/>
        <w:jc w:val="both"/>
        <w:rPr>
          <w:i/>
          <w:color w:val="FF0000"/>
        </w:rPr>
      </w:pPr>
      <w:r>
        <w:rPr>
          <w:i/>
          <w:color w:val="FF0000"/>
        </w:rPr>
        <w:t>...</w:t>
      </w:r>
      <w:r w:rsidRPr="00E76BA9">
        <w:rPr>
          <w:i/>
          <w:color w:val="FF0000"/>
        </w:rPr>
        <w:t xml:space="preserve">стечајни управник је сачинио ЕФИ од 2. марта 2017. године који не садржи потпуне податке о укупним обавезама стечајног дужника, нити потпуну листу вероватних поверилаца. Наиме, ЕФИ који је сачинио стечајни управник садржи укупне обавезе у износу од 1.026.911,92 динара, што представља износ који је значајно нижи од износа блокаде рачуна стечајног дужника на дан отварања стечајног поступка од 58.390.760,49 динара. С тим у вези, иако је, с једне стране, био упознат са износом блокаде рачуна још од од 1. септембра 2016. године, односно од дана именовања за привременог стечајног управника у претходном стечајном поступку над стечајним дужником, као и да је у изјашњењу навео да је био принуђен да ЕФИ уради на бази података из јавних регистара и доступне документације, с друге стране, стечајни управник није предузео активности на прибављању података од Народне Банке Србије о обавезама које чине износ блокаде </w:t>
      </w:r>
      <w:r w:rsidRPr="00E76BA9">
        <w:rPr>
          <w:i/>
          <w:color w:val="FF0000"/>
        </w:rPr>
        <w:lastRenderedPageBreak/>
        <w:t>рачуна стечајног дужника у циљу приказа потпуних и што тачнијих података у ЕФИ-ју суду, повериоцима и Агенцији.</w:t>
      </w:r>
    </w:p>
    <w:p w14:paraId="033A2D53" w14:textId="77777777" w:rsidR="00F47592" w:rsidRPr="00E76BA9" w:rsidRDefault="00F47592" w:rsidP="00F47592">
      <w:pPr>
        <w:ind w:left="720"/>
        <w:jc w:val="both"/>
        <w:rPr>
          <w:i/>
          <w:color w:val="FF0000"/>
        </w:rPr>
      </w:pPr>
      <w:r>
        <w:rPr>
          <w:i/>
          <w:color w:val="FF0000"/>
        </w:rPr>
        <w:t>С</w:t>
      </w:r>
      <w:r w:rsidRPr="00E76BA9">
        <w:rPr>
          <w:i/>
          <w:color w:val="FF0000"/>
        </w:rPr>
        <w:t>течајни управник је у ЕФИ-ју навео да је целокупна непокретна имовина стечајног дужника под хипотеком, а да у делу Преглед имовине стечајног дужника која је под теретом (табела 5.) није евидентирао имовину под теретом, нити податке о повериоцу, износу обезбеђеног потраживања, ликвидационој вредности имовине под теретом, основу стицања права, да ли је у питању разлучно или заложно право (Р/З). Стечајни управник се дана 8. и 21. фебруара 2017. године обратио захтевом РГЗ Сектор за катастар непокретности, али до дана предаје ЕФИ-ја суду није добио одговор, док је у изјашњењу стечајни управник навео да је податак о хипотекама добио увидом у јавни регистар РГЗ-а.</w:t>
      </w:r>
    </w:p>
    <w:p w14:paraId="69E9700A" w14:textId="77777777" w:rsidR="00F47592" w:rsidRPr="00E76BA9" w:rsidRDefault="00F47592" w:rsidP="00F47592">
      <w:pPr>
        <w:ind w:left="720"/>
        <w:jc w:val="both"/>
        <w:rPr>
          <w:i/>
          <w:color w:val="FF0000"/>
        </w:rPr>
      </w:pPr>
      <w:r w:rsidRPr="00E76BA9">
        <w:rPr>
          <w:i/>
          <w:color w:val="FF0000"/>
        </w:rPr>
        <w:t xml:space="preserve">Међутим, стечајни управник је у ЕФИ-ју навео податке и коментаре позивајући се на листове непокретности које је затекао у расположивој документацији стечајног дужника. Такође, стечајни управник није у ЕФИ-ју навео да је сачињени почетни стечајни биланс, као и сам извештај непотпун и нетачан и из којих разлога, нити је предложио суду одређивање продужења рока за састављање почетног стечајног биланса у складу са цитираним одредбама члана 109. став 2. Закона о стечају у циљу допуне истог и презентовања потпуних и тачних података. </w:t>
      </w:r>
    </w:p>
    <w:p w14:paraId="3B7C13E4" w14:textId="77777777" w:rsidR="00F47592" w:rsidRPr="00E76BA9" w:rsidRDefault="00F47592" w:rsidP="00F47592">
      <w:pPr>
        <w:ind w:left="720"/>
        <w:jc w:val="both"/>
        <w:rPr>
          <w:i/>
          <w:color w:val="FF0000"/>
        </w:rPr>
      </w:pPr>
      <w:r w:rsidRPr="00E76BA9">
        <w:rPr>
          <w:i/>
          <w:color w:val="FF0000"/>
        </w:rPr>
        <w:t xml:space="preserve">Као резултат претходно наведеног, стечајни управник је за стечајног дужника над којим је стечајни поступак отворен због трајније неспособности плаћања, чији рачуни су у блокади у износу од 58.390.760,49 динара и чија је целокупна непокретна имовина под хипотеком, сачинио и поднео суду, повериоцима и Агенцији Почетни стечајни биланс у коме нема имовине са теретима, где су укупне обавезе према стечајним повериоцима 1.026.911,92 динара, презадуженост износи 0,00 динара и где преостају средства за власнике капитала у износу од </w:t>
      </w:r>
      <w:r>
        <w:rPr>
          <w:i/>
          <w:color w:val="FF0000"/>
        </w:rPr>
        <w:t>6 милиона</w:t>
      </w:r>
      <w:r w:rsidRPr="00E76BA9">
        <w:rPr>
          <w:i/>
          <w:color w:val="FF0000"/>
        </w:rPr>
        <w:t xml:space="preserve"> динара, чиме је поступио супротно цитираним одредбама члана 27. став 4. Закона о стечају и члана 3. став 1. Кодекса етике за стечајне управнике, а у вези са одредбама члана 27. став 1. тачка 4) и члана 109. став 1. Закона о стечају и Националног стандарда бр. 2 и 3.</w:t>
      </w:r>
    </w:p>
    <w:tbl>
      <w:tblPr>
        <w:tblStyle w:val="GridTable1Light-Accent4"/>
        <w:tblW w:w="5000" w:type="pct"/>
        <w:tblLook w:val="04A0" w:firstRow="1" w:lastRow="0" w:firstColumn="1" w:lastColumn="0" w:noHBand="0" w:noVBand="1"/>
      </w:tblPr>
      <w:tblGrid>
        <w:gridCol w:w="2828"/>
        <w:gridCol w:w="6568"/>
      </w:tblGrid>
      <w:tr w:rsidR="00770876" w14:paraId="1698034A" w14:textId="77777777" w:rsidTr="0077087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5" w:type="pct"/>
            <w:tcBorders>
              <w:top w:val="single" w:sz="4" w:space="0" w:color="FFE599" w:themeColor="accent4" w:themeTint="66"/>
              <w:bottom w:val="single" w:sz="4" w:space="0" w:color="FFE599" w:themeColor="accent4" w:themeTint="66"/>
            </w:tcBorders>
            <w:vAlign w:val="center"/>
          </w:tcPr>
          <w:p w14:paraId="6389513F" w14:textId="30B3A7EE" w:rsidR="00770876" w:rsidRDefault="00770876" w:rsidP="007C298B">
            <w:r>
              <w:t>Више верзија ЕФИ-ја?</w:t>
            </w:r>
          </w:p>
        </w:tc>
        <w:tc>
          <w:tcPr>
            <w:tcW w:w="3495" w:type="pct"/>
            <w:tcBorders>
              <w:top w:val="single" w:sz="4" w:space="0" w:color="FFE599" w:themeColor="accent4" w:themeTint="66"/>
              <w:bottom w:val="single" w:sz="4" w:space="0" w:color="FFE599" w:themeColor="accent4" w:themeTint="66"/>
            </w:tcBorders>
            <w:vAlign w:val="center"/>
          </w:tcPr>
          <w:p w14:paraId="4206EBC9" w14:textId="77777777" w:rsidR="00770876" w:rsidRDefault="00770876" w:rsidP="00770876">
            <w:pPr>
              <w:cnfStyle w:val="100000000000" w:firstRow="1" w:lastRow="0" w:firstColumn="0" w:lastColumn="0" w:oddVBand="0" w:evenVBand="0" w:oddHBand="0" w:evenHBand="0" w:firstRowFirstColumn="0" w:firstRowLastColumn="0" w:lastRowFirstColumn="0" w:lastRowLastColumn="0"/>
              <w:rPr>
                <w:b w:val="0"/>
              </w:rPr>
            </w:pPr>
          </w:p>
          <w:p w14:paraId="48BB36AD" w14:textId="77777777" w:rsidR="00770876" w:rsidRDefault="00770876" w:rsidP="00770876">
            <w:pPr>
              <w:cnfStyle w:val="100000000000" w:firstRow="1" w:lastRow="0" w:firstColumn="0" w:lastColumn="0" w:oddVBand="0" w:evenVBand="0" w:oddHBand="0" w:evenHBand="0" w:firstRowFirstColumn="0" w:firstRowLastColumn="0" w:lastRowFirstColumn="0" w:lastRowLastColumn="0"/>
              <w:rPr>
                <w:b w:val="0"/>
              </w:rPr>
            </w:pPr>
            <w:r>
              <w:rPr>
                <w:b w:val="0"/>
              </w:rPr>
              <w:t xml:space="preserve">Имајући у виду да </w:t>
            </w:r>
            <w:r w:rsidRPr="00770876">
              <w:rPr>
                <w:b w:val="0"/>
              </w:rPr>
              <w:t>се ЕФИ сачињава у ЕРС</w:t>
            </w:r>
            <w:r>
              <w:rPr>
                <w:b w:val="0"/>
              </w:rPr>
              <w:t xml:space="preserve">-у, </w:t>
            </w:r>
            <w:r w:rsidRPr="00770876">
              <w:rPr>
                <w:b w:val="0"/>
              </w:rPr>
              <w:t xml:space="preserve">истоветан извештај се доставља суду, одбору поверилаца и Агенцији. </w:t>
            </w:r>
          </w:p>
          <w:p w14:paraId="583CC5EC" w14:textId="77777777" w:rsidR="00770876" w:rsidRDefault="00770876" w:rsidP="00770876">
            <w:pPr>
              <w:cnfStyle w:val="100000000000" w:firstRow="1" w:lastRow="0" w:firstColumn="0" w:lastColumn="0" w:oddVBand="0" w:evenVBand="0" w:oddHBand="0" w:evenHBand="0" w:firstRowFirstColumn="0" w:firstRowLastColumn="0" w:lastRowFirstColumn="0" w:lastRowLastColumn="0"/>
              <w:rPr>
                <w:b w:val="0"/>
              </w:rPr>
            </w:pPr>
          </w:p>
          <w:p w14:paraId="789D34FE" w14:textId="6FD46FC9" w:rsidR="00770876" w:rsidRPr="00770876" w:rsidRDefault="00770876" w:rsidP="00770876">
            <w:pPr>
              <w:cnfStyle w:val="100000000000" w:firstRow="1" w:lastRow="0" w:firstColumn="0" w:lastColumn="0" w:oddVBand="0" w:evenVBand="0" w:oddHBand="0" w:evenHBand="0" w:firstRowFirstColumn="0" w:firstRowLastColumn="0" w:lastRowFirstColumn="0" w:lastRowLastColumn="0"/>
              <w:rPr>
                <w:b w:val="0"/>
              </w:rPr>
            </w:pPr>
            <w:r w:rsidRPr="00770876">
              <w:rPr>
                <w:b w:val="0"/>
              </w:rPr>
              <w:t xml:space="preserve">Неправилно је ЕФИ сачинити у слободној форми или </w:t>
            </w:r>
            <w:r>
              <w:rPr>
                <w:b w:val="0"/>
              </w:rPr>
              <w:t xml:space="preserve">сачинити </w:t>
            </w:r>
            <w:r w:rsidRPr="00770876">
              <w:rPr>
                <w:b w:val="0"/>
              </w:rPr>
              <w:t>више верзија</w:t>
            </w:r>
            <w:r>
              <w:rPr>
                <w:b w:val="0"/>
              </w:rPr>
              <w:t xml:space="preserve"> и по нахођењу достављати суду, одбору поверилаца и Агенцији</w:t>
            </w:r>
            <w:r w:rsidRPr="00770876">
              <w:rPr>
                <w:b w:val="0"/>
              </w:rPr>
              <w:t>.</w:t>
            </w:r>
          </w:p>
          <w:p w14:paraId="667E4E8A" w14:textId="77777777" w:rsidR="00770876" w:rsidRPr="00770876" w:rsidRDefault="00770876" w:rsidP="00770876">
            <w:pPr>
              <w:cnfStyle w:val="100000000000" w:firstRow="1" w:lastRow="0" w:firstColumn="0" w:lastColumn="0" w:oddVBand="0" w:evenVBand="0" w:oddHBand="0" w:evenHBand="0" w:firstRowFirstColumn="0" w:firstRowLastColumn="0" w:lastRowFirstColumn="0" w:lastRowLastColumn="0"/>
              <w:rPr>
                <w:b w:val="0"/>
              </w:rPr>
            </w:pPr>
          </w:p>
        </w:tc>
      </w:tr>
    </w:tbl>
    <w:p w14:paraId="6F7E838B" w14:textId="77777777" w:rsidR="00770876" w:rsidRDefault="00770876" w:rsidP="00F47592">
      <w:pPr>
        <w:jc w:val="both"/>
      </w:pPr>
    </w:p>
    <w:p w14:paraId="6F2B48F9" w14:textId="1F24CC54" w:rsidR="00F47592" w:rsidRPr="00433CDA" w:rsidRDefault="00043014" w:rsidP="00F47592">
      <w:pPr>
        <w:ind w:left="720"/>
        <w:jc w:val="both"/>
        <w:rPr>
          <w:rFonts w:cstheme="minorHAnsi"/>
          <w:i/>
          <w:color w:val="FF0000"/>
          <w:sz w:val="21"/>
          <w:szCs w:val="21"/>
          <w:u w:val="single"/>
        </w:rPr>
      </w:pPr>
      <w:r>
        <w:rPr>
          <w:rFonts w:cstheme="minorHAnsi"/>
          <w:i/>
          <w:color w:val="FF0000"/>
          <w:sz w:val="21"/>
          <w:szCs w:val="21"/>
          <w:u w:val="single"/>
        </w:rPr>
        <w:t>Надзор</w:t>
      </w:r>
      <w:r w:rsidR="00F47592">
        <w:rPr>
          <w:rFonts w:cstheme="minorHAnsi"/>
          <w:i/>
          <w:color w:val="FF0000"/>
          <w:sz w:val="21"/>
          <w:szCs w:val="21"/>
          <w:u w:val="single"/>
        </w:rPr>
        <w:t xml:space="preserve"> - пример</w:t>
      </w:r>
    </w:p>
    <w:p w14:paraId="6A9B7B94" w14:textId="77777777" w:rsidR="00F47592" w:rsidRPr="0099540B" w:rsidRDefault="00F47592" w:rsidP="00F47592">
      <w:pPr>
        <w:ind w:left="720"/>
        <w:jc w:val="both"/>
        <w:rPr>
          <w:i/>
          <w:color w:val="FF0000"/>
        </w:rPr>
      </w:pPr>
      <w:r>
        <w:rPr>
          <w:i/>
          <w:color w:val="FF0000"/>
        </w:rPr>
        <w:t>...</w:t>
      </w:r>
      <w:r w:rsidRPr="0099540B">
        <w:rPr>
          <w:i/>
          <w:color w:val="FF0000"/>
        </w:rPr>
        <w:t xml:space="preserve">стечајни управник је суду предао ЕФИ у који није унео свеобухватне податке о имовини, односно није унео појединачне ликвидационе вредности за сваку појединачну имовину већ укупну вредност имовине у износу од 44.061.145,00 динара. Стечајни управник је супервизору презентовао и други ЕФИ који је сачињен у </w:t>
      </w:r>
      <w:r>
        <w:rPr>
          <w:i/>
          <w:color w:val="FF0000"/>
        </w:rPr>
        <w:t>ЕРС-у у ко</w:t>
      </w:r>
      <w:r w:rsidRPr="0099540B">
        <w:rPr>
          <w:i/>
          <w:color w:val="FF0000"/>
        </w:rPr>
        <w:t xml:space="preserve">м систему је иначе </w:t>
      </w:r>
      <w:r w:rsidRPr="0099540B">
        <w:rPr>
          <w:i/>
          <w:color w:val="FF0000"/>
        </w:rPr>
        <w:lastRenderedPageBreak/>
        <w:t xml:space="preserve">стечајни управник дужан да води стечај односно уноси податке о имовини стечајног дужника и све остале прописане податке на основу којих сачињава ЕФИ а касније и кварталне извештаје о току стечајног поступка и стању стечајне масе. У ЕФИ који је сачињен у електронској форми и који је достављен Агенцији, стечајни управник је унео све појединачне вредности имовине и укупну вредност имовине од 44.644.045.01 динара. </w:t>
      </w:r>
    </w:p>
    <w:p w14:paraId="69E0D82C" w14:textId="77777777" w:rsidR="00F47592" w:rsidRDefault="00F47592" w:rsidP="00F47592">
      <w:pPr>
        <w:ind w:left="720"/>
        <w:jc w:val="both"/>
        <w:rPr>
          <w:i/>
          <w:color w:val="FF0000"/>
        </w:rPr>
      </w:pPr>
      <w:r w:rsidRPr="0099540B">
        <w:rPr>
          <w:i/>
          <w:color w:val="FF0000"/>
        </w:rPr>
        <w:t>Из утврђеног чињеничног стања произлази да је стечајни управник сачинио два ЕФИ – један за суд и повериоце о којем су повериоци расправљали на првом поверилачком рочишту и други ЕФИ који је доставио Агенцији а који се разликује од ЕФИ који је предао суду. На наведени начин стечајни управник је извршио повреду одредби Националног стандарда број 3 – Национални стандард о састављању извештаја стечајног управника о економско финансијском положају стечајног дужника којим је прописано да је стечајни управник одговоран за тачност и с</w:t>
      </w:r>
      <w:r>
        <w:rPr>
          <w:i/>
          <w:color w:val="FF0000"/>
        </w:rPr>
        <w:t xml:space="preserve">веобухватност унетих података. </w:t>
      </w:r>
    </w:p>
    <w:tbl>
      <w:tblPr>
        <w:tblStyle w:val="GridTable1Light-Accent4"/>
        <w:tblW w:w="5000" w:type="pct"/>
        <w:tblLook w:val="04A0" w:firstRow="1" w:lastRow="0" w:firstColumn="1" w:lastColumn="0" w:noHBand="0" w:noVBand="1"/>
      </w:tblPr>
      <w:tblGrid>
        <w:gridCol w:w="2828"/>
        <w:gridCol w:w="6568"/>
      </w:tblGrid>
      <w:tr w:rsidR="00770876" w:rsidRPr="00770876" w14:paraId="02D62266" w14:textId="77777777" w:rsidTr="007C298B">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05" w:type="pct"/>
            <w:tcBorders>
              <w:top w:val="single" w:sz="4" w:space="0" w:color="FFE599" w:themeColor="accent4" w:themeTint="66"/>
              <w:bottom w:val="single" w:sz="4" w:space="0" w:color="FFE599" w:themeColor="accent4" w:themeTint="66"/>
            </w:tcBorders>
            <w:vAlign w:val="center"/>
          </w:tcPr>
          <w:p w14:paraId="6326BADF" w14:textId="14EB4053" w:rsidR="00770876" w:rsidRDefault="00770876" w:rsidP="007C298B">
            <w:r w:rsidRPr="00770876">
              <w:t>План стечајног поступка и предрачун трошкова стечајног поступка</w:t>
            </w:r>
          </w:p>
        </w:tc>
        <w:tc>
          <w:tcPr>
            <w:tcW w:w="3495" w:type="pct"/>
            <w:tcBorders>
              <w:top w:val="single" w:sz="4" w:space="0" w:color="FFE599" w:themeColor="accent4" w:themeTint="66"/>
              <w:bottom w:val="single" w:sz="4" w:space="0" w:color="FFE599" w:themeColor="accent4" w:themeTint="66"/>
            </w:tcBorders>
            <w:vAlign w:val="center"/>
          </w:tcPr>
          <w:p w14:paraId="5FDBF26C" w14:textId="77777777" w:rsidR="00770876" w:rsidRDefault="00770876" w:rsidP="007C298B">
            <w:pPr>
              <w:cnfStyle w:val="100000000000" w:firstRow="1" w:lastRow="0" w:firstColumn="0" w:lastColumn="0" w:oddVBand="0" w:evenVBand="0" w:oddHBand="0" w:evenHBand="0" w:firstRowFirstColumn="0" w:firstRowLastColumn="0" w:lastRowFirstColumn="0" w:lastRowLastColumn="0"/>
              <w:rPr>
                <w:b w:val="0"/>
              </w:rPr>
            </w:pPr>
          </w:p>
          <w:p w14:paraId="614CAD3F" w14:textId="77777777" w:rsidR="00770876" w:rsidRDefault="00770876" w:rsidP="00770876">
            <w:pPr>
              <w:jc w:val="both"/>
              <w:cnfStyle w:val="100000000000" w:firstRow="1" w:lastRow="0" w:firstColumn="0" w:lastColumn="0" w:oddVBand="0" w:evenVBand="0" w:oddHBand="0" w:evenHBand="0" w:firstRowFirstColumn="0" w:firstRowLastColumn="0" w:lastRowFirstColumn="0" w:lastRowLastColumn="0"/>
              <w:rPr>
                <w:b w:val="0"/>
              </w:rPr>
            </w:pPr>
            <w:r w:rsidRPr="00770876">
              <w:rPr>
                <w:b w:val="0"/>
              </w:rPr>
              <w:t xml:space="preserve">Одредбама члана 27. став 1. тачка 2) Закона о стечају прописано је да је стечајни управник нарочито дужан да </w:t>
            </w:r>
            <w:r w:rsidRPr="008E2159">
              <w:rPr>
                <w:b w:val="0"/>
                <w:color w:val="ED7D31" w:themeColor="accent2"/>
              </w:rPr>
              <w:t>у року од 30 дана од дана именовања</w:t>
            </w:r>
            <w:r w:rsidRPr="00770876">
              <w:rPr>
                <w:b w:val="0"/>
              </w:rPr>
              <w:t xml:space="preserve"> састави план тока стечајног поступка са предрачуном трошкова и временским планом.</w:t>
            </w:r>
          </w:p>
          <w:p w14:paraId="408E938F" w14:textId="77777777" w:rsidR="00144390" w:rsidRPr="00770876" w:rsidRDefault="00144390" w:rsidP="00770876">
            <w:pPr>
              <w:jc w:val="both"/>
              <w:cnfStyle w:val="100000000000" w:firstRow="1" w:lastRow="0" w:firstColumn="0" w:lastColumn="0" w:oddVBand="0" w:evenVBand="0" w:oddHBand="0" w:evenHBand="0" w:firstRowFirstColumn="0" w:firstRowLastColumn="0" w:lastRowFirstColumn="0" w:lastRowLastColumn="0"/>
              <w:rPr>
                <w:b w:val="0"/>
              </w:rPr>
            </w:pPr>
          </w:p>
          <w:p w14:paraId="38BFB742" w14:textId="77777777" w:rsidR="00144390" w:rsidRDefault="00770876" w:rsidP="00770876">
            <w:pPr>
              <w:jc w:val="both"/>
              <w:cnfStyle w:val="100000000000" w:firstRow="1" w:lastRow="0" w:firstColumn="0" w:lastColumn="0" w:oddVBand="0" w:evenVBand="0" w:oddHBand="0" w:evenHBand="0" w:firstRowFirstColumn="0" w:firstRowLastColumn="0" w:lastRowFirstColumn="0" w:lastRowLastColumn="0"/>
              <w:rPr>
                <w:b w:val="0"/>
              </w:rPr>
            </w:pPr>
            <w:r w:rsidRPr="00770876">
              <w:rPr>
                <w:b w:val="0"/>
              </w:rPr>
              <w:t xml:space="preserve">План тока стечајног поступка са предрачуном трошкова и временским планом је битан део почетног стечајног биланса. </w:t>
            </w:r>
          </w:p>
          <w:p w14:paraId="702AA91E" w14:textId="77777777" w:rsidR="00144390" w:rsidRDefault="00144390" w:rsidP="00770876">
            <w:pPr>
              <w:jc w:val="both"/>
              <w:cnfStyle w:val="100000000000" w:firstRow="1" w:lastRow="0" w:firstColumn="0" w:lastColumn="0" w:oddVBand="0" w:evenVBand="0" w:oddHBand="0" w:evenHBand="0" w:firstRowFirstColumn="0" w:firstRowLastColumn="0" w:lastRowFirstColumn="0" w:lastRowLastColumn="0"/>
              <w:rPr>
                <w:b w:val="0"/>
              </w:rPr>
            </w:pPr>
          </w:p>
          <w:p w14:paraId="559F2633" w14:textId="2DE61E71" w:rsidR="00770876" w:rsidRDefault="00770876" w:rsidP="00770876">
            <w:pPr>
              <w:jc w:val="both"/>
              <w:cnfStyle w:val="100000000000" w:firstRow="1" w:lastRow="0" w:firstColumn="0" w:lastColumn="0" w:oddVBand="0" w:evenVBand="0" w:oddHBand="0" w:evenHBand="0" w:firstRowFirstColumn="0" w:firstRowLastColumn="0" w:lastRowFirstColumn="0" w:lastRowLastColumn="0"/>
              <w:rPr>
                <w:b w:val="0"/>
              </w:rPr>
            </w:pPr>
            <w:r w:rsidRPr="00770876">
              <w:rPr>
                <w:b w:val="0"/>
              </w:rPr>
              <w:t>Износ предрачуна трошкова, као претпостављени износ, као и временски план, утичу на (вероватни) износ и период намирења поверилаца, а самим тим и на њихову одлуку о даљем правцу наставка стечајног поступка.</w:t>
            </w:r>
          </w:p>
          <w:p w14:paraId="2FA6DC76" w14:textId="77777777" w:rsidR="00144390" w:rsidRPr="00770876" w:rsidRDefault="00144390" w:rsidP="00770876">
            <w:pPr>
              <w:jc w:val="both"/>
              <w:cnfStyle w:val="100000000000" w:firstRow="1" w:lastRow="0" w:firstColumn="0" w:lastColumn="0" w:oddVBand="0" w:evenVBand="0" w:oddHBand="0" w:evenHBand="0" w:firstRowFirstColumn="0" w:firstRowLastColumn="0" w:lastRowFirstColumn="0" w:lastRowLastColumn="0"/>
              <w:rPr>
                <w:b w:val="0"/>
              </w:rPr>
            </w:pPr>
          </w:p>
          <w:p w14:paraId="397D4BAC" w14:textId="77777777" w:rsidR="00043014" w:rsidRDefault="00770876" w:rsidP="00770876">
            <w:pPr>
              <w:jc w:val="both"/>
              <w:cnfStyle w:val="100000000000" w:firstRow="1" w:lastRow="0" w:firstColumn="0" w:lastColumn="0" w:oddVBand="0" w:evenVBand="0" w:oddHBand="0" w:evenHBand="0" w:firstRowFirstColumn="0" w:firstRowLastColumn="0" w:lastRowFirstColumn="0" w:lastRowLastColumn="0"/>
              <w:rPr>
                <w:b w:val="0"/>
              </w:rPr>
            </w:pPr>
            <w:r w:rsidRPr="00770876">
              <w:rPr>
                <w:b w:val="0"/>
              </w:rPr>
              <w:t>Надзор над радом стечајних управника је показао да значајан број стечајних управника не попуњава овај део ЕФИ-ја</w:t>
            </w:r>
            <w:r w:rsidR="00144390">
              <w:rPr>
                <w:b w:val="0"/>
              </w:rPr>
              <w:t>, или то не чини у потпуности</w:t>
            </w:r>
            <w:r w:rsidRPr="00770876">
              <w:rPr>
                <w:b w:val="0"/>
              </w:rPr>
              <w:t xml:space="preserve">. </w:t>
            </w:r>
          </w:p>
          <w:p w14:paraId="4D63BC08" w14:textId="77777777" w:rsidR="00043014" w:rsidRDefault="00043014" w:rsidP="00770876">
            <w:pPr>
              <w:jc w:val="both"/>
              <w:cnfStyle w:val="100000000000" w:firstRow="1" w:lastRow="0" w:firstColumn="0" w:lastColumn="0" w:oddVBand="0" w:evenVBand="0" w:oddHBand="0" w:evenHBand="0" w:firstRowFirstColumn="0" w:firstRowLastColumn="0" w:lastRowFirstColumn="0" w:lastRowLastColumn="0"/>
              <w:rPr>
                <w:b w:val="0"/>
              </w:rPr>
            </w:pPr>
          </w:p>
          <w:p w14:paraId="558943F9" w14:textId="2C54BE03" w:rsidR="00770876" w:rsidRPr="00770876" w:rsidRDefault="00770876" w:rsidP="00770876">
            <w:pPr>
              <w:jc w:val="both"/>
              <w:cnfStyle w:val="100000000000" w:firstRow="1" w:lastRow="0" w:firstColumn="0" w:lastColumn="0" w:oddVBand="0" w:evenVBand="0" w:oddHBand="0" w:evenHBand="0" w:firstRowFirstColumn="0" w:firstRowLastColumn="0" w:lastRowFirstColumn="0" w:lastRowLastColumn="0"/>
              <w:rPr>
                <w:b w:val="0"/>
              </w:rPr>
            </w:pPr>
            <w:r w:rsidRPr="00770876">
              <w:rPr>
                <w:b w:val="0"/>
              </w:rPr>
              <w:t>Што се тиче самог плана, најчешће се уносе сам</w:t>
            </w:r>
            <w:r w:rsidR="00587F91">
              <w:rPr>
                <w:b w:val="0"/>
              </w:rPr>
              <w:t>о датуми заказаних рочишта</w:t>
            </w:r>
            <w:r w:rsidR="00043014">
              <w:rPr>
                <w:b w:val="0"/>
              </w:rPr>
              <w:t xml:space="preserve"> (прво поверилачко, испитно рочиште)</w:t>
            </w:r>
            <w:r w:rsidR="00587F91">
              <w:rPr>
                <w:b w:val="0"/>
              </w:rPr>
              <w:t>, док</w:t>
            </w:r>
            <w:r w:rsidRPr="00770876">
              <w:rPr>
                <w:b w:val="0"/>
              </w:rPr>
              <w:t xml:space="preserve"> предрачун трошкова </w:t>
            </w:r>
            <w:r w:rsidR="00144390">
              <w:rPr>
                <w:b w:val="0"/>
              </w:rPr>
              <w:t xml:space="preserve">често </w:t>
            </w:r>
            <w:r w:rsidRPr="00770876">
              <w:rPr>
                <w:b w:val="0"/>
              </w:rPr>
              <w:t xml:space="preserve">не садржи чак ни трошкове које обавезно настају у стечајном поступку </w:t>
            </w:r>
          </w:p>
          <w:p w14:paraId="15B60478" w14:textId="77777777" w:rsidR="00770876" w:rsidRPr="00770876" w:rsidRDefault="00770876" w:rsidP="00770876">
            <w:pPr>
              <w:cnfStyle w:val="100000000000" w:firstRow="1" w:lastRow="0" w:firstColumn="0" w:lastColumn="0" w:oddVBand="0" w:evenVBand="0" w:oddHBand="0" w:evenHBand="0" w:firstRowFirstColumn="0" w:firstRowLastColumn="0" w:lastRowFirstColumn="0" w:lastRowLastColumn="0"/>
              <w:rPr>
                <w:b w:val="0"/>
              </w:rPr>
            </w:pPr>
          </w:p>
        </w:tc>
      </w:tr>
    </w:tbl>
    <w:p w14:paraId="76E25012" w14:textId="77777777" w:rsidR="00770876" w:rsidRDefault="00770876" w:rsidP="00F47592">
      <w:pPr>
        <w:rPr>
          <w:b/>
          <w:u w:val="single"/>
        </w:rPr>
      </w:pPr>
    </w:p>
    <w:p w14:paraId="61466E3F" w14:textId="69266702" w:rsidR="00F47592" w:rsidRPr="00317FFB" w:rsidRDefault="00F47592" w:rsidP="00F47592">
      <w:pPr>
        <w:rPr>
          <w:b/>
          <w:lang w:val="en-US"/>
        </w:rPr>
      </w:pPr>
    </w:p>
    <w:p w14:paraId="32612C84" w14:textId="03D8FDC8" w:rsidR="00F47592" w:rsidRDefault="00F47592" w:rsidP="00F47592"/>
    <w:p w14:paraId="54F582D1" w14:textId="3422B5CA" w:rsidR="00F47592" w:rsidRDefault="00F47592" w:rsidP="00F47592"/>
    <w:p w14:paraId="69A874F9" w14:textId="25C337C3" w:rsidR="00F47592" w:rsidRDefault="00F47592" w:rsidP="00F47592"/>
    <w:p w14:paraId="78D01B0E" w14:textId="77777777" w:rsidR="00074C95" w:rsidRPr="001638CF" w:rsidRDefault="00074C95" w:rsidP="00F47592">
      <w:pPr>
        <w:rPr>
          <w:lang w:val="sr-Latn-RS"/>
        </w:rPr>
      </w:pPr>
    </w:p>
    <w:p w14:paraId="7E9C679E" w14:textId="6B734B7B" w:rsidR="00F47592" w:rsidRDefault="00F47592" w:rsidP="00F47592"/>
    <w:p w14:paraId="7DBEE105" w14:textId="514CA74C" w:rsidR="00FB7AAB" w:rsidRPr="00D252C1" w:rsidRDefault="00FB7AAB" w:rsidP="00FB7AAB">
      <w:pPr>
        <w:spacing w:after="0"/>
        <w:jc w:val="center"/>
        <w:rPr>
          <w:b/>
          <w:color w:val="FFC000"/>
          <w:sz w:val="25"/>
          <w:szCs w:val="25"/>
        </w:rPr>
      </w:pPr>
      <w:r>
        <w:rPr>
          <w:b/>
          <w:color w:val="FFC000"/>
          <w:sz w:val="25"/>
          <w:szCs w:val="25"/>
        </w:rPr>
        <w:lastRenderedPageBreak/>
        <w:t>ЗАКЉУЧАК</w:t>
      </w:r>
    </w:p>
    <w:p w14:paraId="643712A5" w14:textId="77777777" w:rsidR="00A4337A" w:rsidRPr="00FB7AAB" w:rsidRDefault="00A4337A" w:rsidP="006E3AD9">
      <w:pPr>
        <w:ind w:firstLine="720"/>
        <w:jc w:val="both"/>
      </w:pPr>
    </w:p>
    <w:p w14:paraId="31839697" w14:textId="0DE400B0" w:rsidR="00141FF7" w:rsidRDefault="00425860" w:rsidP="00FE7442">
      <w:pPr>
        <w:jc w:val="both"/>
      </w:pPr>
      <w:r>
        <w:tab/>
        <w:t xml:space="preserve">ЕФИ је значајан извештај и служи </w:t>
      </w:r>
      <w:r w:rsidR="00141FF7">
        <w:t xml:space="preserve">пре свега </w:t>
      </w:r>
      <w:r>
        <w:t xml:space="preserve">повериоцима за доношење важне одлуке о даљем току стечајног поступка. У овом облику се сачињава већ више од 10 година и извесно је да се неће значајно мењати. </w:t>
      </w:r>
      <w:r w:rsidR="006B67AF">
        <w:t>Наведено упућује да сачињавање ЕФИ-ја за стечајне управника никако не би требало да буде спорно питање, али имајући у виду претходно наведене примере извршених надзора супервизора Агенције, можемо закључити да одређени број стечај</w:t>
      </w:r>
      <w:r w:rsidR="00D0628B">
        <w:t>н</w:t>
      </w:r>
      <w:r w:rsidR="006B67AF">
        <w:t xml:space="preserve">их управника и даље не разуме у потребној мери важност професионалног </w:t>
      </w:r>
      <w:r w:rsidR="00947324">
        <w:t xml:space="preserve">поступања и/или не придаје ЕФИ-ју </w:t>
      </w:r>
      <w:r w:rsidR="0024290C">
        <w:t>одговарајући</w:t>
      </w:r>
      <w:r w:rsidR="00947324">
        <w:t xml:space="preserve"> значај. </w:t>
      </w:r>
    </w:p>
    <w:p w14:paraId="521287F6" w14:textId="70A4CA04" w:rsidR="00947324" w:rsidRDefault="00947324" w:rsidP="00947324">
      <w:pPr>
        <w:ind w:firstLine="720"/>
        <w:jc w:val="both"/>
      </w:pPr>
      <w:r>
        <w:t xml:space="preserve">Са друге стране, бројне су отежавајуће околности које у одређеној мери могу утицати на садржајност и информативност ЕФИ-ја, од којих су неке: рок за сачињавање ЕФИ-ја, недостатак </w:t>
      </w:r>
      <w:r w:rsidRPr="00092F04">
        <w:t>готовине на рачуну стечајног дужника</w:t>
      </w:r>
      <w:r>
        <w:t>, недостатак валидне документације, често недовољан износ предуј</w:t>
      </w:r>
      <w:r w:rsidRPr="00092F04">
        <w:t>м</w:t>
      </w:r>
      <w:r>
        <w:t>а</w:t>
      </w:r>
      <w:r w:rsidRPr="00092F04">
        <w:t xml:space="preserve"> за покретање стечајног поступка</w:t>
      </w:r>
      <w:r>
        <w:t xml:space="preserve">, </w:t>
      </w:r>
      <w:r w:rsidR="006421F7">
        <w:t>велики број</w:t>
      </w:r>
      <w:r>
        <w:t xml:space="preserve"> с</w:t>
      </w:r>
      <w:r w:rsidR="006421F7">
        <w:t>течајних поступака занемарљиво мале</w:t>
      </w:r>
      <w:r>
        <w:t xml:space="preserve"> </w:t>
      </w:r>
      <w:r w:rsidR="006421F7">
        <w:t>вредности имовине</w:t>
      </w:r>
      <w:r>
        <w:t xml:space="preserve"> (тзв. „празни стечајеви“) и др.</w:t>
      </w:r>
    </w:p>
    <w:p w14:paraId="115BBB6A" w14:textId="523ECE5C" w:rsidR="00092F04" w:rsidRDefault="00425860" w:rsidP="00141FF7">
      <w:pPr>
        <w:ind w:firstLine="720"/>
        <w:jc w:val="both"/>
      </w:pPr>
      <w:r>
        <w:t xml:space="preserve">Иако је евидентно да се законска регулатива мења у </w:t>
      </w:r>
      <w:r w:rsidR="006421F7">
        <w:t>смеру</w:t>
      </w:r>
      <w:r>
        <w:t xml:space="preserve"> </w:t>
      </w:r>
      <w:r w:rsidR="006421F7">
        <w:t xml:space="preserve">давања </w:t>
      </w:r>
      <w:r>
        <w:t>већих овлашћења повери</w:t>
      </w:r>
      <w:r w:rsidR="006421F7">
        <w:t>о</w:t>
      </w:r>
      <w:r>
        <w:t>ц</w:t>
      </w:r>
      <w:r w:rsidR="00947324">
        <w:t>им</w:t>
      </w:r>
      <w:r>
        <w:t xml:space="preserve">а, </w:t>
      </w:r>
      <w:r w:rsidR="00092F04">
        <w:t>ЕФИ и даље представља</w:t>
      </w:r>
      <w:r>
        <w:t xml:space="preserve">, заједно са завршним извештајем, </w:t>
      </w:r>
      <w:r w:rsidR="006421F7">
        <w:t>најдетаљнији и свеобухват</w:t>
      </w:r>
      <w:r>
        <w:t>н</w:t>
      </w:r>
      <w:r w:rsidR="006421F7">
        <w:t>ији</w:t>
      </w:r>
      <w:r>
        <w:t xml:space="preserve"> извешта</w:t>
      </w:r>
      <w:r w:rsidR="00092F04">
        <w:t>ј стечајног управника, из ког је</w:t>
      </w:r>
      <w:r>
        <w:t xml:space="preserve"> лако </w:t>
      </w:r>
      <w:r w:rsidR="00092F04">
        <w:t>увидети професионалност у раду стечајног управника.</w:t>
      </w:r>
      <w:r w:rsidR="002905C0">
        <w:t xml:space="preserve"> Начин рада стечајног управника, који је, поред осталог, садржан и у</w:t>
      </w:r>
      <w:r w:rsidR="00947324">
        <w:t xml:space="preserve"> изради ЕФИ-ја</w:t>
      </w:r>
      <w:r w:rsidR="002905C0">
        <w:t xml:space="preserve">, значајан </w:t>
      </w:r>
      <w:r w:rsidR="00947324">
        <w:t xml:space="preserve">је </w:t>
      </w:r>
      <w:r w:rsidR="002905C0">
        <w:t>за стечајног судију, као и за Агенцију.</w:t>
      </w:r>
    </w:p>
    <w:p w14:paraId="33CEA551" w14:textId="5C692F71" w:rsidR="002905C0" w:rsidRPr="001F408A" w:rsidRDefault="002905C0" w:rsidP="00FE7442">
      <w:pPr>
        <w:jc w:val="both"/>
      </w:pPr>
      <w:r>
        <w:tab/>
        <w:t xml:space="preserve">У фокусу стечајног судије је конкретан предмет, у оквиру ког је од изузетне важности </w:t>
      </w:r>
      <w:r w:rsidR="00947324">
        <w:t xml:space="preserve">како </w:t>
      </w:r>
      <w:r>
        <w:t xml:space="preserve">поступање стечајног управника, </w:t>
      </w:r>
      <w:r w:rsidR="00947324">
        <w:t>тако и</w:t>
      </w:r>
      <w:r w:rsidR="00955318">
        <w:t xml:space="preserve"> </w:t>
      </w:r>
      <w:r>
        <w:t xml:space="preserve">остваривање циља стечајног поступка - </w:t>
      </w:r>
      <w:r w:rsidRPr="00955318">
        <w:rPr>
          <w:i/>
        </w:rPr>
        <w:t>најповољније колективно намирење стечајних поверилаца остваривањем највеће могуће вредности стечајног дужника, односно његове имовине</w:t>
      </w:r>
      <w:r w:rsidR="00955318">
        <w:rPr>
          <w:i/>
        </w:rPr>
        <w:t>.</w:t>
      </w:r>
      <w:r w:rsidR="001F408A">
        <w:rPr>
          <w:i/>
        </w:rPr>
        <w:t xml:space="preserve"> </w:t>
      </w:r>
      <w:r w:rsidR="002F1F3B">
        <w:t>Међутим, имајући у виду да се р</w:t>
      </w:r>
      <w:r w:rsidR="001F408A">
        <w:t>азматрање ЕФИ-</w:t>
      </w:r>
      <w:r w:rsidR="002F1F3B">
        <w:t>ја</w:t>
      </w:r>
      <w:r w:rsidR="001F408A">
        <w:t xml:space="preserve"> </w:t>
      </w:r>
      <w:r w:rsidR="002F1F3B">
        <w:t>обавља</w:t>
      </w:r>
      <w:r w:rsidR="001F408A">
        <w:t xml:space="preserve"> </w:t>
      </w:r>
      <w:r w:rsidR="002F1F3B">
        <w:t xml:space="preserve">на првом поверилачком рочишту, </w:t>
      </w:r>
      <w:r w:rsidR="001F408A">
        <w:t>често „пада у други план“</w:t>
      </w:r>
      <w:r w:rsidR="002F1F3B">
        <w:t>,</w:t>
      </w:r>
      <w:r w:rsidR="001F408A">
        <w:t xml:space="preserve"> с обзиром да се углавном тада бирају поверилачки органи </w:t>
      </w:r>
      <w:r w:rsidR="002F1F3B">
        <w:t>(</w:t>
      </w:r>
      <w:r w:rsidR="001F408A">
        <w:t>што често може бити спорно питање</w:t>
      </w:r>
      <w:r w:rsidR="002F1F3B">
        <w:t>)</w:t>
      </w:r>
      <w:r w:rsidR="001F408A">
        <w:t xml:space="preserve"> или разматрају нека хитна питања.</w:t>
      </w:r>
    </w:p>
    <w:p w14:paraId="26478C69" w14:textId="4A4DE315" w:rsidR="00141FF7" w:rsidRDefault="00955318" w:rsidP="00FE7442">
      <w:pPr>
        <w:jc w:val="both"/>
      </w:pPr>
      <w:r>
        <w:rPr>
          <w:i/>
        </w:rPr>
        <w:tab/>
      </w:r>
      <w:r w:rsidR="00141FF7">
        <w:t>С друге стране, и</w:t>
      </w:r>
      <w:r w:rsidR="00AA7C56">
        <w:t>мајући у виду да супервизори Агенције прегледају, поред великог броја остале документације, и ЕФИ-је свих стечајних управника који раде на територији свих судова у Републици Србији, у обавези су да почев од нивоа конкретног управника</w:t>
      </w:r>
      <w:r w:rsidR="00141FF7">
        <w:t>,</w:t>
      </w:r>
      <w:r w:rsidR="00AA7C56">
        <w:t xml:space="preserve"> указују на неправилности или неусаглашености</w:t>
      </w:r>
      <w:r w:rsidR="00947324">
        <w:t xml:space="preserve"> у раду</w:t>
      </w:r>
      <w:r w:rsidR="00AA7C56">
        <w:t xml:space="preserve">. </w:t>
      </w:r>
    </w:p>
    <w:p w14:paraId="4A2CAEAE" w14:textId="5971D9AF" w:rsidR="00955318" w:rsidRPr="00955318" w:rsidRDefault="002F1F3B" w:rsidP="00AA7C56">
      <w:pPr>
        <w:ind w:firstLine="720"/>
        <w:jc w:val="both"/>
      </w:pPr>
      <w:r>
        <w:t>Пре свега</w:t>
      </w:r>
      <w:r w:rsidR="00AA7C56">
        <w:t>, у</w:t>
      </w:r>
      <w:r w:rsidR="00955318">
        <w:t xml:space="preserve"> фокусу Агенције</w:t>
      </w:r>
      <w:r w:rsidR="00947324">
        <w:t xml:space="preserve"> је</w:t>
      </w:r>
      <w:r w:rsidR="00955318">
        <w:t xml:space="preserve">, поред надзора над радом конкретног стечајног управника, развој професије стечајних управника. </w:t>
      </w:r>
      <w:r w:rsidR="00947324">
        <w:t>Неспорно</w:t>
      </w:r>
      <w:r w:rsidR="00955318">
        <w:t xml:space="preserve"> је да су ЕФИ-ји достављени у 2018. години много квалитетније сачињени него </w:t>
      </w:r>
      <w:r w:rsidR="00AA7C56">
        <w:t xml:space="preserve">они сачињени </w:t>
      </w:r>
      <w:r w:rsidR="00955318">
        <w:t xml:space="preserve">пре 10 година, али оно на чему Центар за надзор </w:t>
      </w:r>
      <w:r w:rsidR="00141FF7">
        <w:t xml:space="preserve">и развој професије </w:t>
      </w:r>
      <w:r w:rsidR="00955318">
        <w:t xml:space="preserve">Агенције континуирано ради </w:t>
      </w:r>
      <w:r w:rsidR="00AA7C56">
        <w:t xml:space="preserve">јесте указивање на </w:t>
      </w:r>
      <w:r w:rsidR="00947324">
        <w:t xml:space="preserve">потребна </w:t>
      </w:r>
      <w:r w:rsidR="00AA7C56">
        <w:t>побољшања</w:t>
      </w:r>
      <w:r w:rsidR="00947324">
        <w:t xml:space="preserve"> у раду стечајних управника</w:t>
      </w:r>
      <w:r w:rsidR="00AA7C56">
        <w:t xml:space="preserve"> која је, упркос препрекама, могуће постићи.</w:t>
      </w:r>
    </w:p>
    <w:p w14:paraId="18188FBC" w14:textId="7E7B501A" w:rsidR="00EF74F0" w:rsidRDefault="00D43275" w:rsidP="00092F04">
      <w:pPr>
        <w:ind w:firstLine="720"/>
        <w:jc w:val="both"/>
      </w:pPr>
      <w:r>
        <w:t xml:space="preserve">Имајући </w:t>
      </w:r>
      <w:r w:rsidR="00092F04">
        <w:t>у виду</w:t>
      </w:r>
      <w:r>
        <w:t xml:space="preserve"> значај професионалног и квалитетног извештавања у стечајном поступку</w:t>
      </w:r>
      <w:r w:rsidR="00092F04">
        <w:t xml:space="preserve">,  </w:t>
      </w:r>
      <w:r w:rsidR="00947324">
        <w:t xml:space="preserve">смер измена стечајне регулативе који укључује </w:t>
      </w:r>
      <w:r w:rsidR="00457BDC">
        <w:t>све значајниј</w:t>
      </w:r>
      <w:r w:rsidR="002D2409">
        <w:t>у улогу у поступку</w:t>
      </w:r>
      <w:r w:rsidR="00457BDC">
        <w:t xml:space="preserve"> </w:t>
      </w:r>
      <w:r w:rsidR="002D2409">
        <w:t>дату</w:t>
      </w:r>
      <w:r w:rsidR="00457BDC">
        <w:t xml:space="preserve"> повериоцима,  али и </w:t>
      </w:r>
      <w:r w:rsidR="00092F04">
        <w:t xml:space="preserve">препреке </w:t>
      </w:r>
      <w:r>
        <w:t xml:space="preserve">и изазове </w:t>
      </w:r>
      <w:r w:rsidR="00092F04">
        <w:t xml:space="preserve">са којима се </w:t>
      </w:r>
      <w:r w:rsidR="002905C0">
        <w:t xml:space="preserve">стечајни управници </w:t>
      </w:r>
      <w:r>
        <w:t>у пракси су</w:t>
      </w:r>
      <w:r w:rsidR="002905C0">
        <w:t>срећу</w:t>
      </w:r>
      <w:r>
        <w:t xml:space="preserve">, једини </w:t>
      </w:r>
      <w:r w:rsidR="002E034F">
        <w:t xml:space="preserve">исправан </w:t>
      </w:r>
      <w:r>
        <w:t xml:space="preserve">начин </w:t>
      </w:r>
      <w:r w:rsidR="002E034F">
        <w:t xml:space="preserve">је </w:t>
      </w:r>
      <w:r w:rsidR="00457BDC">
        <w:t xml:space="preserve">радити у складу са законом и уз стална лична побољшања, уз </w:t>
      </w:r>
      <w:r w:rsidR="00947324">
        <w:t xml:space="preserve">обавезно </w:t>
      </w:r>
      <w:r w:rsidR="00457BDC">
        <w:t>очување</w:t>
      </w:r>
      <w:r>
        <w:t xml:space="preserve"> </w:t>
      </w:r>
      <w:r w:rsidR="00457BDC">
        <w:t>личног и професионалног</w:t>
      </w:r>
      <w:r>
        <w:t xml:space="preserve"> интегритет</w:t>
      </w:r>
      <w:r w:rsidR="00457BDC">
        <w:t>а.</w:t>
      </w:r>
    </w:p>
    <w:p w14:paraId="2246773C" w14:textId="752EAB5D" w:rsidR="00EE61A1" w:rsidRDefault="00EF74F0" w:rsidP="002F1F3B">
      <w:pPr>
        <w:ind w:firstLine="720"/>
        <w:jc w:val="right"/>
      </w:pPr>
      <w:r>
        <w:t>Јелена Тодић, супервизор</w:t>
      </w:r>
    </w:p>
    <w:sectPr w:rsidR="00EE61A1">
      <w:headerReference w:type="default" r:id="rId16"/>
      <w:footerReference w:type="default" r:id="rId17"/>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109731" w14:textId="77777777" w:rsidR="005678EA" w:rsidRDefault="005678EA" w:rsidP="0093289C">
      <w:pPr>
        <w:spacing w:after="0" w:line="240" w:lineRule="auto"/>
      </w:pPr>
      <w:r>
        <w:separator/>
      </w:r>
    </w:p>
  </w:endnote>
  <w:endnote w:type="continuationSeparator" w:id="0">
    <w:p w14:paraId="108AC988" w14:textId="77777777" w:rsidR="005678EA" w:rsidRDefault="005678EA" w:rsidP="009328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40433352"/>
      <w:docPartObj>
        <w:docPartGallery w:val="Page Numbers (Bottom of Page)"/>
        <w:docPartUnique/>
      </w:docPartObj>
    </w:sdtPr>
    <w:sdtEndPr>
      <w:rPr>
        <w:noProof/>
        <w:sz w:val="18"/>
        <w:szCs w:val="18"/>
      </w:rPr>
    </w:sdtEndPr>
    <w:sdtContent>
      <w:p w14:paraId="09089E7B" w14:textId="6917F2BD" w:rsidR="00F47592" w:rsidRPr="00F47592" w:rsidRDefault="00F47592">
        <w:pPr>
          <w:pStyle w:val="Footer"/>
          <w:jc w:val="right"/>
          <w:rPr>
            <w:sz w:val="18"/>
            <w:szCs w:val="18"/>
          </w:rPr>
        </w:pPr>
        <w:r w:rsidRPr="00F47592">
          <w:rPr>
            <w:sz w:val="18"/>
            <w:szCs w:val="18"/>
          </w:rPr>
          <w:fldChar w:fldCharType="begin"/>
        </w:r>
        <w:r w:rsidRPr="00F47592">
          <w:rPr>
            <w:sz w:val="18"/>
            <w:szCs w:val="18"/>
          </w:rPr>
          <w:instrText xml:space="preserve"> PAGE   \* MERGEFORMAT </w:instrText>
        </w:r>
        <w:r w:rsidRPr="00F47592">
          <w:rPr>
            <w:sz w:val="18"/>
            <w:szCs w:val="18"/>
          </w:rPr>
          <w:fldChar w:fldCharType="separate"/>
        </w:r>
        <w:r w:rsidR="00F9542A">
          <w:rPr>
            <w:noProof/>
            <w:sz w:val="18"/>
            <w:szCs w:val="18"/>
          </w:rPr>
          <w:t>14</w:t>
        </w:r>
        <w:r w:rsidRPr="00F47592">
          <w:rPr>
            <w:noProof/>
            <w:sz w:val="18"/>
            <w:szCs w:val="18"/>
          </w:rPr>
          <w:fldChar w:fldCharType="end"/>
        </w:r>
      </w:p>
    </w:sdtContent>
  </w:sdt>
  <w:p w14:paraId="53B317CD" w14:textId="77777777" w:rsidR="00F47592" w:rsidRDefault="00F4759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3106CD" w14:textId="77777777" w:rsidR="005678EA" w:rsidRDefault="005678EA" w:rsidP="0093289C">
      <w:pPr>
        <w:spacing w:after="0" w:line="240" w:lineRule="auto"/>
      </w:pPr>
      <w:r>
        <w:separator/>
      </w:r>
    </w:p>
  </w:footnote>
  <w:footnote w:type="continuationSeparator" w:id="0">
    <w:p w14:paraId="3980D550" w14:textId="77777777" w:rsidR="005678EA" w:rsidRDefault="005678EA" w:rsidP="0093289C">
      <w:pPr>
        <w:spacing w:after="0" w:line="240" w:lineRule="auto"/>
      </w:pPr>
      <w:r>
        <w:continuationSeparator/>
      </w:r>
    </w:p>
  </w:footnote>
  <w:footnote w:id="1">
    <w:p w14:paraId="6B0FF1FB" w14:textId="77777777" w:rsidR="0093289C" w:rsidRDefault="0093289C">
      <w:pPr>
        <w:pStyle w:val="FootnoteText"/>
      </w:pPr>
      <w:r>
        <w:rPr>
          <w:rStyle w:val="FootnoteReference"/>
        </w:rPr>
        <w:footnoteRef/>
      </w:r>
      <w:r>
        <w:t xml:space="preserve"> ППР – прво поверилачко рочиште; СП – стечајни поступак, ОП – одбор поверилаца, СУ – стечајни управник</w:t>
      </w:r>
    </w:p>
  </w:footnote>
  <w:footnote w:id="2">
    <w:p w14:paraId="44AC35C2" w14:textId="371F29F5" w:rsidR="00D557F4" w:rsidRDefault="00D557F4" w:rsidP="00D557F4">
      <w:pPr>
        <w:pStyle w:val="FootnoteText"/>
        <w:jc w:val="both"/>
      </w:pPr>
      <w:r>
        <w:rPr>
          <w:rStyle w:val="FootnoteReference"/>
        </w:rPr>
        <w:footnoteRef/>
      </w:r>
      <w:r>
        <w:t xml:space="preserve"> </w:t>
      </w:r>
      <w:r w:rsidRPr="00D557F4">
        <w:t>Почетни стечајни биланс са извештајем о економско-финансијском положају стечајног дужника са проценом могућности реорганизације</w:t>
      </w:r>
    </w:p>
  </w:footnote>
  <w:footnote w:id="3">
    <w:p w14:paraId="64C3E912" w14:textId="34C1FFF4" w:rsidR="00AB774A" w:rsidRDefault="00AB774A" w:rsidP="00AB774A">
      <w:pPr>
        <w:pStyle w:val="FootnoteText"/>
      </w:pPr>
      <w:r>
        <w:rPr>
          <w:rStyle w:val="FootnoteReference"/>
        </w:rPr>
        <w:footnoteRef/>
      </w:r>
      <w:r>
        <w:t xml:space="preserve"> ЕРС напомена - документација се у скенираном облику може смештати у електронској архиви на налогу стечајног дужника</w:t>
      </w:r>
    </w:p>
  </w:footnote>
  <w:footnote w:id="4">
    <w:p w14:paraId="0AA58A77" w14:textId="596CBEFE" w:rsidR="00435D09" w:rsidRDefault="00435D09">
      <w:pPr>
        <w:pStyle w:val="FootnoteText"/>
      </w:pPr>
      <w:r>
        <w:rPr>
          <w:rStyle w:val="FootnoteReference"/>
        </w:rPr>
        <w:footnoteRef/>
      </w:r>
      <w:r>
        <w:t xml:space="preserve"> Препорука – пописну листу за групно унету имовину додати у ЕРС- у, у део „Приложени документи“</w:t>
      </w:r>
    </w:p>
  </w:footnote>
  <w:footnote w:id="5">
    <w:p w14:paraId="0A96020C" w14:textId="4FF6176D" w:rsidR="003A14C8" w:rsidRDefault="003A14C8">
      <w:pPr>
        <w:pStyle w:val="FootnoteText"/>
      </w:pPr>
      <w:r>
        <w:rPr>
          <w:rStyle w:val="FootnoteReference"/>
        </w:rPr>
        <w:footnoteRef/>
      </w:r>
      <w:r>
        <w:t xml:space="preserve"> Позиција број 27 у обрасцу завршног извештаја – Национални стандард </w:t>
      </w:r>
      <w:r w:rsidRPr="003A14C8">
        <w:t>о завршном рачуну стечајног управника</w:t>
      </w:r>
      <w:r>
        <w:t xml:space="preserve"> број 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4AE4C4" w14:textId="519CEF14" w:rsidR="00215DDB" w:rsidRPr="00E542DA" w:rsidRDefault="00215DDB" w:rsidP="00D47F13">
    <w:pPr>
      <w:pStyle w:val="Header"/>
      <w:jc w:val="right"/>
      <w:rPr>
        <w:i/>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pPr>
    <w:r w:rsidRPr="00D47F13">
      <w:rPr>
        <w:i/>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Центар за надзор и развој професије</w:t>
    </w:r>
    <w:r w:rsidR="00E542DA">
      <w:rPr>
        <w:i/>
        <w:lang w:val="en-US"/>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 xml:space="preserve"> – </w:t>
    </w:r>
    <w:r w:rsidR="00E542DA">
      <w:rPr>
        <w:i/>
        <w14:textOutline w14:w="0" w14:cap="flat" w14:cmpd="sng" w14:algn="ctr">
          <w14:noFill/>
          <w14:prstDash w14:val="solid"/>
          <w14:round/>
        </w14:textOutline>
        <w14:textFill>
          <w14:gradFill>
            <w14:gsLst>
              <w14:gs w14:pos="21000">
                <w14:srgbClr w14:val="53575C"/>
              </w14:gs>
              <w14:gs w14:pos="88000">
                <w14:srgbClr w14:val="C5C7CA"/>
              </w14:gs>
            </w14:gsLst>
            <w14:lin w14:ang="5400000" w14:scaled="0"/>
          </w14:gradFill>
        </w14:textFill>
      </w:rPr>
      <w:t>септембар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A54C63"/>
    <w:multiLevelType w:val="hybridMultilevel"/>
    <w:tmpl w:val="4C5607E4"/>
    <w:lvl w:ilvl="0" w:tplc="04A68E3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0D338D"/>
    <w:multiLevelType w:val="hybridMultilevel"/>
    <w:tmpl w:val="D3BC6EF2"/>
    <w:lvl w:ilvl="0" w:tplc="7494D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B71EB"/>
    <w:multiLevelType w:val="hybridMultilevel"/>
    <w:tmpl w:val="4A1EC87C"/>
    <w:lvl w:ilvl="0" w:tplc="94AC1396">
      <w:start w:val="9"/>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9AC6670"/>
    <w:multiLevelType w:val="hybridMultilevel"/>
    <w:tmpl w:val="2E1C564A"/>
    <w:lvl w:ilvl="0" w:tplc="7494D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00711FE"/>
    <w:multiLevelType w:val="hybridMultilevel"/>
    <w:tmpl w:val="D0E0BBF2"/>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42EF0539"/>
    <w:multiLevelType w:val="multilevel"/>
    <w:tmpl w:val="ACC80C84"/>
    <w:lvl w:ilvl="0">
      <w:start w:val="1"/>
      <w:numFmt w:val="decimal"/>
      <w:lvlText w:val="%1."/>
      <w:lvlJc w:val="left"/>
      <w:pPr>
        <w:ind w:left="360" w:hanging="360"/>
      </w:p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Courier New" w:hAnsi="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58557D34"/>
    <w:multiLevelType w:val="hybridMultilevel"/>
    <w:tmpl w:val="313E9DA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D967EB1"/>
    <w:multiLevelType w:val="hybridMultilevel"/>
    <w:tmpl w:val="4A1EC87C"/>
    <w:lvl w:ilvl="0" w:tplc="94AC1396">
      <w:start w:val="9"/>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7C2F93"/>
    <w:multiLevelType w:val="hybridMultilevel"/>
    <w:tmpl w:val="F2E28616"/>
    <w:lvl w:ilvl="0" w:tplc="D11CD136">
      <w:start w:val="1"/>
      <w:numFmt w:val="bullet"/>
      <w:lvlText w:val=""/>
      <w:lvlJc w:val="left"/>
      <w:pPr>
        <w:ind w:left="1440" w:hanging="360"/>
      </w:pPr>
      <w:rPr>
        <w:rFonts w:ascii="Symbol" w:hAnsi="Symbol" w:hint="default"/>
      </w:rPr>
    </w:lvl>
    <w:lvl w:ilvl="1" w:tplc="D11CD136">
      <w:start w:val="1"/>
      <w:numFmt w:val="bullet"/>
      <w:lvlText w:val=""/>
      <w:lvlJc w:val="left"/>
      <w:pPr>
        <w:ind w:left="1440" w:hanging="360"/>
      </w:pPr>
      <w:rPr>
        <w:rFonts w:ascii="Symbol" w:hAnsi="Symbol"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0E55EB"/>
    <w:multiLevelType w:val="hybridMultilevel"/>
    <w:tmpl w:val="3ADA3E72"/>
    <w:lvl w:ilvl="0" w:tplc="19927A3C">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B600479"/>
    <w:multiLevelType w:val="hybridMultilevel"/>
    <w:tmpl w:val="7FDE0486"/>
    <w:lvl w:ilvl="0" w:tplc="273C9828">
      <w:start w:val="7"/>
      <w:numFmt w:val="decimal"/>
      <w:lvlText w:val="%1."/>
      <w:lvlJc w:val="left"/>
      <w:pPr>
        <w:ind w:left="720" w:hanging="360"/>
      </w:pPr>
      <w:rPr>
        <w:rFonts w:asciiTheme="minorHAnsi" w:eastAsiaTheme="minorHAnsi" w:hAnsiTheme="minorHAnsi" w:cstheme="minorBid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FE97441"/>
    <w:multiLevelType w:val="hybridMultilevel"/>
    <w:tmpl w:val="85C65B68"/>
    <w:lvl w:ilvl="0" w:tplc="7494D320">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6"/>
  </w:num>
  <w:num w:numId="4">
    <w:abstractNumId w:val="9"/>
  </w:num>
  <w:num w:numId="5">
    <w:abstractNumId w:val="10"/>
  </w:num>
  <w:num w:numId="6">
    <w:abstractNumId w:val="7"/>
  </w:num>
  <w:num w:numId="7">
    <w:abstractNumId w:val="2"/>
  </w:num>
  <w:num w:numId="8">
    <w:abstractNumId w:val="0"/>
  </w:num>
  <w:num w:numId="9">
    <w:abstractNumId w:val="1"/>
  </w:num>
  <w:num w:numId="10">
    <w:abstractNumId w:val="8"/>
  </w:num>
  <w:num w:numId="11">
    <w:abstractNumId w:val="4"/>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32CA"/>
    <w:rsid w:val="00005659"/>
    <w:rsid w:val="000230C6"/>
    <w:rsid w:val="000413B1"/>
    <w:rsid w:val="00043014"/>
    <w:rsid w:val="0006796A"/>
    <w:rsid w:val="000718B8"/>
    <w:rsid w:val="00074C95"/>
    <w:rsid w:val="00092137"/>
    <w:rsid w:val="00092F04"/>
    <w:rsid w:val="00093ACC"/>
    <w:rsid w:val="000953D5"/>
    <w:rsid w:val="000B1516"/>
    <w:rsid w:val="000C7D62"/>
    <w:rsid w:val="00120792"/>
    <w:rsid w:val="00132BCA"/>
    <w:rsid w:val="00141FF7"/>
    <w:rsid w:val="00144390"/>
    <w:rsid w:val="001561B4"/>
    <w:rsid w:val="001638CF"/>
    <w:rsid w:val="00170603"/>
    <w:rsid w:val="00175716"/>
    <w:rsid w:val="00176D57"/>
    <w:rsid w:val="001A4358"/>
    <w:rsid w:val="001C0829"/>
    <w:rsid w:val="001C1885"/>
    <w:rsid w:val="001F0A83"/>
    <w:rsid w:val="001F408A"/>
    <w:rsid w:val="0020676A"/>
    <w:rsid w:val="00210A9D"/>
    <w:rsid w:val="00215DDB"/>
    <w:rsid w:val="00223792"/>
    <w:rsid w:val="00227AA4"/>
    <w:rsid w:val="0024290C"/>
    <w:rsid w:val="00247932"/>
    <w:rsid w:val="00253F9F"/>
    <w:rsid w:val="00260B54"/>
    <w:rsid w:val="00263FB2"/>
    <w:rsid w:val="00275768"/>
    <w:rsid w:val="002774DD"/>
    <w:rsid w:val="00277EE4"/>
    <w:rsid w:val="00286AC0"/>
    <w:rsid w:val="002905C0"/>
    <w:rsid w:val="002A7768"/>
    <w:rsid w:val="002C7074"/>
    <w:rsid w:val="002D2409"/>
    <w:rsid w:val="002D38DE"/>
    <w:rsid w:val="002E034F"/>
    <w:rsid w:val="002F1F3B"/>
    <w:rsid w:val="003005C0"/>
    <w:rsid w:val="00304D3A"/>
    <w:rsid w:val="0031499C"/>
    <w:rsid w:val="00316F00"/>
    <w:rsid w:val="00317FFB"/>
    <w:rsid w:val="003356B8"/>
    <w:rsid w:val="003372A8"/>
    <w:rsid w:val="003379C3"/>
    <w:rsid w:val="00352D2B"/>
    <w:rsid w:val="00371681"/>
    <w:rsid w:val="00381900"/>
    <w:rsid w:val="0038325B"/>
    <w:rsid w:val="003A14C8"/>
    <w:rsid w:val="003A22D3"/>
    <w:rsid w:val="003D0B63"/>
    <w:rsid w:val="003E09CC"/>
    <w:rsid w:val="003E4457"/>
    <w:rsid w:val="003E6539"/>
    <w:rsid w:val="00425860"/>
    <w:rsid w:val="00430F35"/>
    <w:rsid w:val="00433CDA"/>
    <w:rsid w:val="00435D09"/>
    <w:rsid w:val="00457BDC"/>
    <w:rsid w:val="0046168A"/>
    <w:rsid w:val="004724C5"/>
    <w:rsid w:val="004A229F"/>
    <w:rsid w:val="004B04E8"/>
    <w:rsid w:val="004C6826"/>
    <w:rsid w:val="004C71B5"/>
    <w:rsid w:val="004E4EE6"/>
    <w:rsid w:val="00507D25"/>
    <w:rsid w:val="00515600"/>
    <w:rsid w:val="00540FE7"/>
    <w:rsid w:val="00541D56"/>
    <w:rsid w:val="00541EC2"/>
    <w:rsid w:val="00542274"/>
    <w:rsid w:val="0054312B"/>
    <w:rsid w:val="00546288"/>
    <w:rsid w:val="00547896"/>
    <w:rsid w:val="005515EB"/>
    <w:rsid w:val="005601E1"/>
    <w:rsid w:val="005671B4"/>
    <w:rsid w:val="005678EA"/>
    <w:rsid w:val="00584CF6"/>
    <w:rsid w:val="00584F4D"/>
    <w:rsid w:val="00587F91"/>
    <w:rsid w:val="005916D0"/>
    <w:rsid w:val="00593179"/>
    <w:rsid w:val="00594D01"/>
    <w:rsid w:val="005A104F"/>
    <w:rsid w:val="005A4F19"/>
    <w:rsid w:val="005B4E9A"/>
    <w:rsid w:val="005C5AEA"/>
    <w:rsid w:val="005D7F05"/>
    <w:rsid w:val="005D7F31"/>
    <w:rsid w:val="005E29BB"/>
    <w:rsid w:val="00600FDB"/>
    <w:rsid w:val="00614BAE"/>
    <w:rsid w:val="00616A43"/>
    <w:rsid w:val="00617AA7"/>
    <w:rsid w:val="00620440"/>
    <w:rsid w:val="00635AB5"/>
    <w:rsid w:val="006421F7"/>
    <w:rsid w:val="0064336F"/>
    <w:rsid w:val="00654C31"/>
    <w:rsid w:val="006565A8"/>
    <w:rsid w:val="00666D63"/>
    <w:rsid w:val="0067011D"/>
    <w:rsid w:val="006703CC"/>
    <w:rsid w:val="006714EE"/>
    <w:rsid w:val="006851B0"/>
    <w:rsid w:val="00686633"/>
    <w:rsid w:val="006A6A99"/>
    <w:rsid w:val="006B67AF"/>
    <w:rsid w:val="006E352F"/>
    <w:rsid w:val="006E3AD9"/>
    <w:rsid w:val="00714E80"/>
    <w:rsid w:val="00715790"/>
    <w:rsid w:val="007364E4"/>
    <w:rsid w:val="00737671"/>
    <w:rsid w:val="00746550"/>
    <w:rsid w:val="00770876"/>
    <w:rsid w:val="0077157E"/>
    <w:rsid w:val="007717CB"/>
    <w:rsid w:val="007B59FB"/>
    <w:rsid w:val="007D4720"/>
    <w:rsid w:val="007E6E47"/>
    <w:rsid w:val="00834107"/>
    <w:rsid w:val="00835E37"/>
    <w:rsid w:val="00861B22"/>
    <w:rsid w:val="00862091"/>
    <w:rsid w:val="00863519"/>
    <w:rsid w:val="0086624E"/>
    <w:rsid w:val="008708D7"/>
    <w:rsid w:val="008A296C"/>
    <w:rsid w:val="008A6F99"/>
    <w:rsid w:val="008D17FD"/>
    <w:rsid w:val="008D1971"/>
    <w:rsid w:val="008E2159"/>
    <w:rsid w:val="008E6586"/>
    <w:rsid w:val="009007BC"/>
    <w:rsid w:val="009118B8"/>
    <w:rsid w:val="0093289C"/>
    <w:rsid w:val="009441DE"/>
    <w:rsid w:val="00947324"/>
    <w:rsid w:val="00955318"/>
    <w:rsid w:val="00955ADE"/>
    <w:rsid w:val="009569EA"/>
    <w:rsid w:val="00973D56"/>
    <w:rsid w:val="0099540B"/>
    <w:rsid w:val="00995705"/>
    <w:rsid w:val="009A3D55"/>
    <w:rsid w:val="009A42CB"/>
    <w:rsid w:val="009B0F51"/>
    <w:rsid w:val="009C6552"/>
    <w:rsid w:val="009D5B96"/>
    <w:rsid w:val="009E42D6"/>
    <w:rsid w:val="009E4518"/>
    <w:rsid w:val="00A111E3"/>
    <w:rsid w:val="00A34DF5"/>
    <w:rsid w:val="00A4337A"/>
    <w:rsid w:val="00A639F2"/>
    <w:rsid w:val="00A94592"/>
    <w:rsid w:val="00AA09F1"/>
    <w:rsid w:val="00AA2F88"/>
    <w:rsid w:val="00AA6A6D"/>
    <w:rsid w:val="00AA7C56"/>
    <w:rsid w:val="00AB774A"/>
    <w:rsid w:val="00AD3B2C"/>
    <w:rsid w:val="00AF2675"/>
    <w:rsid w:val="00B46028"/>
    <w:rsid w:val="00B54F95"/>
    <w:rsid w:val="00B568F3"/>
    <w:rsid w:val="00B818CF"/>
    <w:rsid w:val="00BC551A"/>
    <w:rsid w:val="00BE313B"/>
    <w:rsid w:val="00BE5F4C"/>
    <w:rsid w:val="00BE6958"/>
    <w:rsid w:val="00BF47A6"/>
    <w:rsid w:val="00C0376D"/>
    <w:rsid w:val="00C03903"/>
    <w:rsid w:val="00C04C4E"/>
    <w:rsid w:val="00C3383F"/>
    <w:rsid w:val="00C62A74"/>
    <w:rsid w:val="00C66E13"/>
    <w:rsid w:val="00C71299"/>
    <w:rsid w:val="00C8586E"/>
    <w:rsid w:val="00CB0CAF"/>
    <w:rsid w:val="00CB0DD2"/>
    <w:rsid w:val="00CF0C62"/>
    <w:rsid w:val="00D0628B"/>
    <w:rsid w:val="00D224C7"/>
    <w:rsid w:val="00D252C1"/>
    <w:rsid w:val="00D37412"/>
    <w:rsid w:val="00D43275"/>
    <w:rsid w:val="00D46622"/>
    <w:rsid w:val="00D47F13"/>
    <w:rsid w:val="00D557F4"/>
    <w:rsid w:val="00D56AEC"/>
    <w:rsid w:val="00D77F17"/>
    <w:rsid w:val="00D87D54"/>
    <w:rsid w:val="00DA1869"/>
    <w:rsid w:val="00DA2337"/>
    <w:rsid w:val="00DB5967"/>
    <w:rsid w:val="00DB7C0A"/>
    <w:rsid w:val="00DC6649"/>
    <w:rsid w:val="00E020E5"/>
    <w:rsid w:val="00E1365D"/>
    <w:rsid w:val="00E157A6"/>
    <w:rsid w:val="00E542DA"/>
    <w:rsid w:val="00E758EC"/>
    <w:rsid w:val="00E76BA9"/>
    <w:rsid w:val="00E8140E"/>
    <w:rsid w:val="00EC4812"/>
    <w:rsid w:val="00ED1F98"/>
    <w:rsid w:val="00EE00ED"/>
    <w:rsid w:val="00EE339B"/>
    <w:rsid w:val="00EE4C0D"/>
    <w:rsid w:val="00EE61A1"/>
    <w:rsid w:val="00EF2D5B"/>
    <w:rsid w:val="00EF4057"/>
    <w:rsid w:val="00EF74F0"/>
    <w:rsid w:val="00F05168"/>
    <w:rsid w:val="00F1640D"/>
    <w:rsid w:val="00F24BA8"/>
    <w:rsid w:val="00F332CA"/>
    <w:rsid w:val="00F40779"/>
    <w:rsid w:val="00F44EB1"/>
    <w:rsid w:val="00F47592"/>
    <w:rsid w:val="00F67F02"/>
    <w:rsid w:val="00F90397"/>
    <w:rsid w:val="00F9542A"/>
    <w:rsid w:val="00F9726A"/>
    <w:rsid w:val="00FA5FCC"/>
    <w:rsid w:val="00FB7AAB"/>
    <w:rsid w:val="00FE7133"/>
    <w:rsid w:val="00FE7442"/>
    <w:rsid w:val="00FF3A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49107C"/>
  <w15:chartTrackingRefBased/>
  <w15:docId w15:val="{57E32FF6-83E3-4B7A-9DE0-F62C5A0F3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55A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stTable2-Accent5">
    <w:name w:val="List Table 2 Accent 5"/>
    <w:basedOn w:val="TableNormal"/>
    <w:uiPriority w:val="47"/>
    <w:rsid w:val="0064336F"/>
    <w:pPr>
      <w:spacing w:after="0" w:line="240" w:lineRule="auto"/>
    </w:pPr>
    <w:tblPr>
      <w:tblStyleRowBandSize w:val="1"/>
      <w:tblStyleColBandSize w:val="1"/>
      <w:tblBorders>
        <w:top w:val="single" w:sz="4" w:space="0" w:color="8EAADB" w:themeColor="accent5" w:themeTint="99"/>
        <w:bottom w:val="single" w:sz="4" w:space="0" w:color="8EAADB" w:themeColor="accent5" w:themeTint="99"/>
        <w:insideH w:val="single" w:sz="4" w:space="0" w:color="8EAADB"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5" w:themeFillTint="33"/>
      </w:tcPr>
    </w:tblStylePr>
    <w:tblStylePr w:type="band1Horz">
      <w:tblPr/>
      <w:tcPr>
        <w:shd w:val="clear" w:color="auto" w:fill="D9E2F3" w:themeFill="accent5" w:themeFillTint="33"/>
      </w:tcPr>
    </w:tblStylePr>
  </w:style>
  <w:style w:type="table" w:styleId="ListTable2-Accent1">
    <w:name w:val="List Table 2 Accent 1"/>
    <w:basedOn w:val="TableNormal"/>
    <w:uiPriority w:val="47"/>
    <w:rsid w:val="0064336F"/>
    <w:pPr>
      <w:spacing w:after="0" w:line="240" w:lineRule="auto"/>
    </w:pPr>
    <w:tblPr>
      <w:tblStyleRowBandSize w:val="1"/>
      <w:tblStyleColBandSize w:val="1"/>
      <w:tblBorders>
        <w:top w:val="single" w:sz="4" w:space="0" w:color="9CC2E5" w:themeColor="accent1" w:themeTint="99"/>
        <w:bottom w:val="single" w:sz="4" w:space="0" w:color="9CC2E5" w:themeColor="accent1" w:themeTint="99"/>
        <w:insideH w:val="single" w:sz="4" w:space="0" w:color="9CC2E5"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ListTable7Colorful-Accent5">
    <w:name w:val="List Table 7 Colorful Accent 5"/>
    <w:basedOn w:val="TableNormal"/>
    <w:uiPriority w:val="52"/>
    <w:rsid w:val="0064336F"/>
    <w:pPr>
      <w:spacing w:after="0" w:line="240" w:lineRule="auto"/>
    </w:pPr>
    <w:rPr>
      <w:color w:val="2F5496"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5"/>
        </w:tcBorders>
        <w:shd w:val="clear" w:color="auto" w:fill="FFFFFF" w:themeFill="background1"/>
      </w:tcPr>
    </w:tblStylePr>
    <w:tblStylePr w:type="band1Vert">
      <w:tblPr/>
      <w:tcPr>
        <w:shd w:val="clear" w:color="auto" w:fill="D9E2F3" w:themeFill="accent5" w:themeFillTint="33"/>
      </w:tcPr>
    </w:tblStylePr>
    <w:tblStylePr w:type="band1Horz">
      <w:tblPr/>
      <w:tcPr>
        <w:shd w:val="clear" w:color="auto" w:fill="D9E2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5Dark-Accent5">
    <w:name w:val="Grid Table 5 Dark Accent 5"/>
    <w:basedOn w:val="TableNormal"/>
    <w:uiPriority w:val="50"/>
    <w:rsid w:val="006433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5Dark-Accent1">
    <w:name w:val="Grid Table 5 Dark Accent 1"/>
    <w:basedOn w:val="TableNormal"/>
    <w:uiPriority w:val="50"/>
    <w:rsid w:val="0064336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CommentReference">
    <w:name w:val="annotation reference"/>
    <w:basedOn w:val="DefaultParagraphFont"/>
    <w:uiPriority w:val="99"/>
    <w:semiHidden/>
    <w:unhideWhenUsed/>
    <w:rsid w:val="00EE61A1"/>
    <w:rPr>
      <w:sz w:val="16"/>
      <w:szCs w:val="16"/>
    </w:rPr>
  </w:style>
  <w:style w:type="paragraph" w:styleId="CommentText">
    <w:name w:val="annotation text"/>
    <w:basedOn w:val="Normal"/>
    <w:link w:val="CommentTextChar"/>
    <w:uiPriority w:val="99"/>
    <w:semiHidden/>
    <w:unhideWhenUsed/>
    <w:rsid w:val="00EE61A1"/>
    <w:pPr>
      <w:spacing w:line="240" w:lineRule="auto"/>
    </w:pPr>
    <w:rPr>
      <w:sz w:val="20"/>
      <w:szCs w:val="20"/>
    </w:rPr>
  </w:style>
  <w:style w:type="character" w:customStyle="1" w:styleId="CommentTextChar">
    <w:name w:val="Comment Text Char"/>
    <w:basedOn w:val="DefaultParagraphFont"/>
    <w:link w:val="CommentText"/>
    <w:uiPriority w:val="99"/>
    <w:semiHidden/>
    <w:rsid w:val="00EE61A1"/>
    <w:rPr>
      <w:sz w:val="20"/>
      <w:szCs w:val="20"/>
      <w:lang w:val="sr-Cyrl-RS"/>
    </w:rPr>
  </w:style>
  <w:style w:type="paragraph" w:styleId="CommentSubject">
    <w:name w:val="annotation subject"/>
    <w:basedOn w:val="CommentText"/>
    <w:next w:val="CommentText"/>
    <w:link w:val="CommentSubjectChar"/>
    <w:uiPriority w:val="99"/>
    <w:semiHidden/>
    <w:unhideWhenUsed/>
    <w:rsid w:val="00EE61A1"/>
    <w:rPr>
      <w:b/>
      <w:bCs/>
    </w:rPr>
  </w:style>
  <w:style w:type="character" w:customStyle="1" w:styleId="CommentSubjectChar">
    <w:name w:val="Comment Subject Char"/>
    <w:basedOn w:val="CommentTextChar"/>
    <w:link w:val="CommentSubject"/>
    <w:uiPriority w:val="99"/>
    <w:semiHidden/>
    <w:rsid w:val="00EE61A1"/>
    <w:rPr>
      <w:b/>
      <w:bCs/>
      <w:sz w:val="20"/>
      <w:szCs w:val="20"/>
      <w:lang w:val="sr-Cyrl-RS"/>
    </w:rPr>
  </w:style>
  <w:style w:type="paragraph" w:styleId="BalloonText">
    <w:name w:val="Balloon Text"/>
    <w:basedOn w:val="Normal"/>
    <w:link w:val="BalloonTextChar"/>
    <w:uiPriority w:val="99"/>
    <w:semiHidden/>
    <w:unhideWhenUsed/>
    <w:rsid w:val="00EE61A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E61A1"/>
    <w:rPr>
      <w:rFonts w:ascii="Segoe UI" w:hAnsi="Segoe UI" w:cs="Segoe UI"/>
      <w:sz w:val="18"/>
      <w:szCs w:val="18"/>
      <w:lang w:val="sr-Cyrl-RS"/>
    </w:rPr>
  </w:style>
  <w:style w:type="paragraph" w:styleId="NoSpacing">
    <w:name w:val="No Spacing"/>
    <w:link w:val="NoSpacingChar"/>
    <w:uiPriority w:val="1"/>
    <w:qFormat/>
    <w:rsid w:val="00EE4C0D"/>
    <w:pPr>
      <w:spacing w:after="0" w:line="240" w:lineRule="auto"/>
    </w:pPr>
    <w:rPr>
      <w:rFonts w:eastAsiaTheme="minorEastAsia"/>
    </w:rPr>
  </w:style>
  <w:style w:type="character" w:customStyle="1" w:styleId="NoSpacingChar">
    <w:name w:val="No Spacing Char"/>
    <w:basedOn w:val="DefaultParagraphFont"/>
    <w:link w:val="NoSpacing"/>
    <w:uiPriority w:val="1"/>
    <w:rsid w:val="00EE4C0D"/>
    <w:rPr>
      <w:rFonts w:eastAsiaTheme="minorEastAsia"/>
    </w:rPr>
  </w:style>
  <w:style w:type="table" w:styleId="GridTable5Dark-Accent4">
    <w:name w:val="Grid Table 5 Dark Accent 4"/>
    <w:basedOn w:val="TableNormal"/>
    <w:uiPriority w:val="50"/>
    <w:rsid w:val="00F24BA8"/>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GridTable5Dark-Accent2">
    <w:name w:val="Grid Table 5 Dark Accent 2"/>
    <w:basedOn w:val="TableNormal"/>
    <w:uiPriority w:val="50"/>
    <w:rsid w:val="000C7D6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paragraph" w:styleId="FootnoteText">
    <w:name w:val="footnote text"/>
    <w:basedOn w:val="Normal"/>
    <w:link w:val="FootnoteTextChar"/>
    <w:uiPriority w:val="99"/>
    <w:semiHidden/>
    <w:unhideWhenUsed/>
    <w:rsid w:val="0093289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3289C"/>
    <w:rPr>
      <w:sz w:val="20"/>
      <w:szCs w:val="20"/>
      <w:lang w:val="sr-Cyrl-RS"/>
    </w:rPr>
  </w:style>
  <w:style w:type="character" w:styleId="FootnoteReference">
    <w:name w:val="footnote reference"/>
    <w:basedOn w:val="DefaultParagraphFont"/>
    <w:uiPriority w:val="99"/>
    <w:semiHidden/>
    <w:unhideWhenUsed/>
    <w:rsid w:val="0093289C"/>
    <w:rPr>
      <w:vertAlign w:val="superscript"/>
    </w:rPr>
  </w:style>
  <w:style w:type="paragraph" w:styleId="Header">
    <w:name w:val="header"/>
    <w:basedOn w:val="Normal"/>
    <w:link w:val="HeaderChar"/>
    <w:uiPriority w:val="99"/>
    <w:unhideWhenUsed/>
    <w:rsid w:val="00215DDB"/>
    <w:pPr>
      <w:tabs>
        <w:tab w:val="center" w:pos="4703"/>
        <w:tab w:val="right" w:pos="9406"/>
      </w:tabs>
      <w:spacing w:after="0" w:line="240" w:lineRule="auto"/>
    </w:pPr>
  </w:style>
  <w:style w:type="character" w:customStyle="1" w:styleId="HeaderChar">
    <w:name w:val="Header Char"/>
    <w:basedOn w:val="DefaultParagraphFont"/>
    <w:link w:val="Header"/>
    <w:uiPriority w:val="99"/>
    <w:rsid w:val="00215DDB"/>
    <w:rPr>
      <w:lang w:val="sr-Cyrl-RS"/>
    </w:rPr>
  </w:style>
  <w:style w:type="paragraph" w:styleId="Footer">
    <w:name w:val="footer"/>
    <w:basedOn w:val="Normal"/>
    <w:link w:val="FooterChar"/>
    <w:uiPriority w:val="99"/>
    <w:unhideWhenUsed/>
    <w:rsid w:val="00215DDB"/>
    <w:pPr>
      <w:tabs>
        <w:tab w:val="center" w:pos="4703"/>
        <w:tab w:val="right" w:pos="9406"/>
      </w:tabs>
      <w:spacing w:after="0" w:line="240" w:lineRule="auto"/>
    </w:pPr>
  </w:style>
  <w:style w:type="character" w:customStyle="1" w:styleId="FooterChar">
    <w:name w:val="Footer Char"/>
    <w:basedOn w:val="DefaultParagraphFont"/>
    <w:link w:val="Footer"/>
    <w:uiPriority w:val="99"/>
    <w:rsid w:val="00215DDB"/>
    <w:rPr>
      <w:lang w:val="sr-Cyrl-RS"/>
    </w:rPr>
  </w:style>
  <w:style w:type="paragraph" w:styleId="ListParagraph">
    <w:name w:val="List Paragraph"/>
    <w:basedOn w:val="Normal"/>
    <w:uiPriority w:val="34"/>
    <w:qFormat/>
    <w:rsid w:val="00714E80"/>
    <w:pPr>
      <w:ind w:left="720"/>
      <w:contextualSpacing/>
    </w:pPr>
  </w:style>
  <w:style w:type="character" w:styleId="PlaceholderText">
    <w:name w:val="Placeholder Text"/>
    <w:basedOn w:val="DefaultParagraphFont"/>
    <w:uiPriority w:val="99"/>
    <w:semiHidden/>
    <w:rsid w:val="00AA09F1"/>
    <w:rPr>
      <w:color w:val="808080"/>
    </w:rPr>
  </w:style>
  <w:style w:type="table" w:styleId="ListTable2-Accent2">
    <w:name w:val="List Table 2 Accent 2"/>
    <w:basedOn w:val="TableNormal"/>
    <w:uiPriority w:val="47"/>
    <w:rsid w:val="00746550"/>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character" w:styleId="Hyperlink">
    <w:name w:val="Hyperlink"/>
    <w:basedOn w:val="DefaultParagraphFont"/>
    <w:uiPriority w:val="99"/>
    <w:unhideWhenUsed/>
    <w:rsid w:val="00C03903"/>
    <w:rPr>
      <w:color w:val="0563C1" w:themeColor="hyperlink"/>
      <w:u w:val="single"/>
    </w:rPr>
  </w:style>
  <w:style w:type="table" w:styleId="GridTable1Light-Accent4">
    <w:name w:val="Grid Table 1 Light Accent 4"/>
    <w:basedOn w:val="TableNormal"/>
    <w:uiPriority w:val="46"/>
    <w:rsid w:val="00541D56"/>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5716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mailto:podrskaers@alsu.gov.rs"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image" Target="media/image1.png"/><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yperlink" Target="http://www.alsu.gov.rs" TargetMode="Externa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233C2C04-8FA1-42DC-A566-92846939C78A}" type="doc">
      <dgm:prSet loTypeId="urn:microsoft.com/office/officeart/2005/8/layout/venn3" loCatId="relationship" qsTypeId="urn:microsoft.com/office/officeart/2005/8/quickstyle/simple1" qsCatId="simple" csTypeId="urn:microsoft.com/office/officeart/2005/8/colors/accent1_2" csCatId="accent1" phldr="1"/>
      <dgm:spPr/>
      <dgm:t>
        <a:bodyPr/>
        <a:lstStyle/>
        <a:p>
          <a:endParaRPr lang="en-US"/>
        </a:p>
      </dgm:t>
    </dgm:pt>
    <dgm:pt modelId="{67E8766D-2DF5-4D2B-84B4-43D2CF1378BF}">
      <dgm:prSet phldrT="[Text]"/>
      <dgm:spPr>
        <a:solidFill>
          <a:schemeClr val="accent4">
            <a:lumMod val="20000"/>
            <a:lumOff val="80000"/>
            <a:alpha val="50000"/>
          </a:schemeClr>
        </a:solidFill>
      </dgm:spPr>
      <dgm:t>
        <a:bodyPr/>
        <a:lstStyle/>
        <a:p>
          <a:r>
            <a:rPr lang="sr-Cyrl-RS"/>
            <a:t>ЕФИ обухвата информације на дан отварања стечајног поступка на основу којих повериоци одлучују о начину спровођења стечајног поступка</a:t>
          </a:r>
          <a:endParaRPr lang="en-US"/>
        </a:p>
      </dgm:t>
    </dgm:pt>
    <dgm:pt modelId="{4F038D71-5F7F-4806-893A-2AA4D3DBDD54}" type="parTrans" cxnId="{2FFBCEAA-E62C-45AE-AF4A-FE34557ECF37}">
      <dgm:prSet/>
      <dgm:spPr/>
      <dgm:t>
        <a:bodyPr/>
        <a:lstStyle/>
        <a:p>
          <a:endParaRPr lang="en-US"/>
        </a:p>
      </dgm:t>
    </dgm:pt>
    <dgm:pt modelId="{AD6E1E4E-DF4B-4770-9224-F2569CE10226}" type="sibTrans" cxnId="{2FFBCEAA-E62C-45AE-AF4A-FE34557ECF37}">
      <dgm:prSet/>
      <dgm:spPr/>
      <dgm:t>
        <a:bodyPr/>
        <a:lstStyle/>
        <a:p>
          <a:endParaRPr lang="en-US"/>
        </a:p>
      </dgm:t>
    </dgm:pt>
    <dgm:pt modelId="{0A70805B-E73D-4A57-B72B-A400E2C9D2B7}">
      <dgm:prSet phldrT="[Text]"/>
      <dgm:spPr>
        <a:solidFill>
          <a:schemeClr val="accent4">
            <a:lumMod val="60000"/>
            <a:lumOff val="40000"/>
            <a:alpha val="50000"/>
          </a:schemeClr>
        </a:solidFill>
      </dgm:spPr>
      <dgm:t>
        <a:bodyPr/>
        <a:lstStyle/>
        <a:p>
          <a:r>
            <a:rPr lang="sr-Cyrl-RS"/>
            <a:t>Стечајни управник израђује извештај и одговоран је за тачност и свеобухватност унетих података</a:t>
          </a:r>
          <a:endParaRPr lang="en-US"/>
        </a:p>
      </dgm:t>
    </dgm:pt>
    <dgm:pt modelId="{E940C09D-6BA9-4976-A0BB-C53868A7EEAA}" type="parTrans" cxnId="{8C8EA1B5-C6B3-4B8A-A033-3B414479C879}">
      <dgm:prSet/>
      <dgm:spPr/>
      <dgm:t>
        <a:bodyPr/>
        <a:lstStyle/>
        <a:p>
          <a:endParaRPr lang="en-US"/>
        </a:p>
      </dgm:t>
    </dgm:pt>
    <dgm:pt modelId="{AA7ED22F-B25E-40D4-B91F-FA4FBEC432B8}" type="sibTrans" cxnId="{8C8EA1B5-C6B3-4B8A-A033-3B414479C879}">
      <dgm:prSet/>
      <dgm:spPr/>
      <dgm:t>
        <a:bodyPr/>
        <a:lstStyle/>
        <a:p>
          <a:endParaRPr lang="en-US"/>
        </a:p>
      </dgm:t>
    </dgm:pt>
    <dgm:pt modelId="{2A9F61D7-09FA-436A-BE24-DC9C320A8D35}">
      <dgm:prSet phldrT="[Text]"/>
      <dgm:spPr>
        <a:solidFill>
          <a:schemeClr val="accent4">
            <a:lumMod val="20000"/>
            <a:lumOff val="80000"/>
            <a:alpha val="50000"/>
          </a:schemeClr>
        </a:solidFill>
      </dgm:spPr>
      <dgm:t>
        <a:bodyPr/>
        <a:lstStyle/>
        <a:p>
          <a:r>
            <a:rPr lang="sr-Cyrl-RS"/>
            <a:t>Стечајни управник израђује извештај на основу свих расположивих информација којима располаже у моменту израде извештаја</a:t>
          </a:r>
          <a:endParaRPr lang="en-US"/>
        </a:p>
      </dgm:t>
    </dgm:pt>
    <dgm:pt modelId="{5E68CDC8-2825-4BE9-B68C-E06250A379A7}" type="parTrans" cxnId="{B07FCFFE-EE6A-4245-9502-E1F2992DCAE7}">
      <dgm:prSet/>
      <dgm:spPr/>
      <dgm:t>
        <a:bodyPr/>
        <a:lstStyle/>
        <a:p>
          <a:endParaRPr lang="en-US"/>
        </a:p>
      </dgm:t>
    </dgm:pt>
    <dgm:pt modelId="{0D594C73-9396-4841-AE2E-BC1F87CA5E73}" type="sibTrans" cxnId="{B07FCFFE-EE6A-4245-9502-E1F2992DCAE7}">
      <dgm:prSet/>
      <dgm:spPr/>
      <dgm:t>
        <a:bodyPr/>
        <a:lstStyle/>
        <a:p>
          <a:endParaRPr lang="en-US"/>
        </a:p>
      </dgm:t>
    </dgm:pt>
    <dgm:pt modelId="{F7AEFE5D-29F6-4C7F-9FB7-DA1002D5DB55}" type="pres">
      <dgm:prSet presAssocID="{233C2C04-8FA1-42DC-A566-92846939C78A}" presName="Name0" presStyleCnt="0">
        <dgm:presLayoutVars>
          <dgm:dir/>
          <dgm:resizeHandles val="exact"/>
        </dgm:presLayoutVars>
      </dgm:prSet>
      <dgm:spPr/>
      <dgm:t>
        <a:bodyPr/>
        <a:lstStyle/>
        <a:p>
          <a:endParaRPr lang="en-US"/>
        </a:p>
      </dgm:t>
    </dgm:pt>
    <dgm:pt modelId="{DBD5F823-4A6F-4091-9B23-D44DC114A697}" type="pres">
      <dgm:prSet presAssocID="{67E8766D-2DF5-4D2B-84B4-43D2CF1378BF}" presName="Name5" presStyleLbl="vennNode1" presStyleIdx="0" presStyleCnt="3">
        <dgm:presLayoutVars>
          <dgm:bulletEnabled val="1"/>
        </dgm:presLayoutVars>
      </dgm:prSet>
      <dgm:spPr/>
      <dgm:t>
        <a:bodyPr/>
        <a:lstStyle/>
        <a:p>
          <a:endParaRPr lang="en-US"/>
        </a:p>
      </dgm:t>
    </dgm:pt>
    <dgm:pt modelId="{4381BF79-BE63-4131-9483-4387C7B8C53A}" type="pres">
      <dgm:prSet presAssocID="{AD6E1E4E-DF4B-4770-9224-F2569CE10226}" presName="space" presStyleCnt="0"/>
      <dgm:spPr/>
    </dgm:pt>
    <dgm:pt modelId="{F5812942-B260-4A2F-8B6A-9554F901B643}" type="pres">
      <dgm:prSet presAssocID="{0A70805B-E73D-4A57-B72B-A400E2C9D2B7}" presName="Name5" presStyleLbl="vennNode1" presStyleIdx="1" presStyleCnt="3">
        <dgm:presLayoutVars>
          <dgm:bulletEnabled val="1"/>
        </dgm:presLayoutVars>
      </dgm:prSet>
      <dgm:spPr/>
      <dgm:t>
        <a:bodyPr/>
        <a:lstStyle/>
        <a:p>
          <a:endParaRPr lang="en-US"/>
        </a:p>
      </dgm:t>
    </dgm:pt>
    <dgm:pt modelId="{1550EDA2-1C45-49F3-A3CE-8B8984B6E35F}" type="pres">
      <dgm:prSet presAssocID="{AA7ED22F-B25E-40D4-B91F-FA4FBEC432B8}" presName="space" presStyleCnt="0"/>
      <dgm:spPr/>
    </dgm:pt>
    <dgm:pt modelId="{99F6C63A-577F-473A-89B3-DE951C4C20AD}" type="pres">
      <dgm:prSet presAssocID="{2A9F61D7-09FA-436A-BE24-DC9C320A8D35}" presName="Name5" presStyleLbl="vennNode1" presStyleIdx="2" presStyleCnt="3">
        <dgm:presLayoutVars>
          <dgm:bulletEnabled val="1"/>
        </dgm:presLayoutVars>
      </dgm:prSet>
      <dgm:spPr/>
      <dgm:t>
        <a:bodyPr/>
        <a:lstStyle/>
        <a:p>
          <a:endParaRPr lang="en-US"/>
        </a:p>
      </dgm:t>
    </dgm:pt>
  </dgm:ptLst>
  <dgm:cxnLst>
    <dgm:cxn modelId="{2FFBCEAA-E62C-45AE-AF4A-FE34557ECF37}" srcId="{233C2C04-8FA1-42DC-A566-92846939C78A}" destId="{67E8766D-2DF5-4D2B-84B4-43D2CF1378BF}" srcOrd="0" destOrd="0" parTransId="{4F038D71-5F7F-4806-893A-2AA4D3DBDD54}" sibTransId="{AD6E1E4E-DF4B-4770-9224-F2569CE10226}"/>
    <dgm:cxn modelId="{A6BD48F2-2F19-4A25-90B3-E19C34CC15CD}" type="presOf" srcId="{67E8766D-2DF5-4D2B-84B4-43D2CF1378BF}" destId="{DBD5F823-4A6F-4091-9B23-D44DC114A697}" srcOrd="0" destOrd="0" presId="urn:microsoft.com/office/officeart/2005/8/layout/venn3"/>
    <dgm:cxn modelId="{8C8EA1B5-C6B3-4B8A-A033-3B414479C879}" srcId="{233C2C04-8FA1-42DC-A566-92846939C78A}" destId="{0A70805B-E73D-4A57-B72B-A400E2C9D2B7}" srcOrd="1" destOrd="0" parTransId="{E940C09D-6BA9-4976-A0BB-C53868A7EEAA}" sibTransId="{AA7ED22F-B25E-40D4-B91F-FA4FBEC432B8}"/>
    <dgm:cxn modelId="{08ACE1D8-B3D4-40BC-B74E-6F2871C3472E}" type="presOf" srcId="{2A9F61D7-09FA-436A-BE24-DC9C320A8D35}" destId="{99F6C63A-577F-473A-89B3-DE951C4C20AD}" srcOrd="0" destOrd="0" presId="urn:microsoft.com/office/officeart/2005/8/layout/venn3"/>
    <dgm:cxn modelId="{BFF6643B-1829-4A60-AF74-9AAF178A1502}" type="presOf" srcId="{233C2C04-8FA1-42DC-A566-92846939C78A}" destId="{F7AEFE5D-29F6-4C7F-9FB7-DA1002D5DB55}" srcOrd="0" destOrd="0" presId="urn:microsoft.com/office/officeart/2005/8/layout/venn3"/>
    <dgm:cxn modelId="{AA0A5BDA-621E-4E54-BB07-BFF86B484E3C}" type="presOf" srcId="{0A70805B-E73D-4A57-B72B-A400E2C9D2B7}" destId="{F5812942-B260-4A2F-8B6A-9554F901B643}" srcOrd="0" destOrd="0" presId="urn:microsoft.com/office/officeart/2005/8/layout/venn3"/>
    <dgm:cxn modelId="{B07FCFFE-EE6A-4245-9502-E1F2992DCAE7}" srcId="{233C2C04-8FA1-42DC-A566-92846939C78A}" destId="{2A9F61D7-09FA-436A-BE24-DC9C320A8D35}" srcOrd="2" destOrd="0" parTransId="{5E68CDC8-2825-4BE9-B68C-E06250A379A7}" sibTransId="{0D594C73-9396-4841-AE2E-BC1F87CA5E73}"/>
    <dgm:cxn modelId="{626AFB29-B542-4D39-B7CC-CA574F305AD2}" type="presParOf" srcId="{F7AEFE5D-29F6-4C7F-9FB7-DA1002D5DB55}" destId="{DBD5F823-4A6F-4091-9B23-D44DC114A697}" srcOrd="0" destOrd="0" presId="urn:microsoft.com/office/officeart/2005/8/layout/venn3"/>
    <dgm:cxn modelId="{187E794A-F1B1-4431-BBAE-FF64A686F801}" type="presParOf" srcId="{F7AEFE5D-29F6-4C7F-9FB7-DA1002D5DB55}" destId="{4381BF79-BE63-4131-9483-4387C7B8C53A}" srcOrd="1" destOrd="0" presId="urn:microsoft.com/office/officeart/2005/8/layout/venn3"/>
    <dgm:cxn modelId="{EF9E8341-0038-494A-9DAF-8163A2FE0884}" type="presParOf" srcId="{F7AEFE5D-29F6-4C7F-9FB7-DA1002D5DB55}" destId="{F5812942-B260-4A2F-8B6A-9554F901B643}" srcOrd="2" destOrd="0" presId="urn:microsoft.com/office/officeart/2005/8/layout/venn3"/>
    <dgm:cxn modelId="{607ECD47-0E25-4CB6-8333-B7A9E847E2D4}" type="presParOf" srcId="{F7AEFE5D-29F6-4C7F-9FB7-DA1002D5DB55}" destId="{1550EDA2-1C45-49F3-A3CE-8B8984B6E35F}" srcOrd="3" destOrd="0" presId="urn:microsoft.com/office/officeart/2005/8/layout/venn3"/>
    <dgm:cxn modelId="{5CEEE20D-D9C6-4852-BD07-B610CBEAC394}" type="presParOf" srcId="{F7AEFE5D-29F6-4C7F-9FB7-DA1002D5DB55}" destId="{99F6C63A-577F-473A-89B3-DE951C4C20AD}" srcOrd="4" destOrd="0" presId="urn:microsoft.com/office/officeart/2005/8/layout/venn3"/>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DBD5F823-4A6F-4091-9B23-D44DC114A697}">
      <dsp:nvSpPr>
        <dsp:cNvPr id="0" name=""/>
        <dsp:cNvSpPr/>
      </dsp:nvSpPr>
      <dsp:spPr>
        <a:xfrm>
          <a:off x="2624" y="457476"/>
          <a:ext cx="2294971" cy="2294971"/>
        </a:xfrm>
        <a:prstGeom prst="ellipse">
          <a:avLst/>
        </a:prstGeom>
        <a:solidFill>
          <a:schemeClr val="accent4">
            <a:lumMod val="20000"/>
            <a:lumOff val="8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6300" tIns="15240" rIns="126300" bIns="15240" numCol="1" spcCol="1270" anchor="ctr" anchorCtr="0">
          <a:noAutofit/>
        </a:bodyPr>
        <a:lstStyle/>
        <a:p>
          <a:pPr lvl="0" algn="ctr" defTabSz="533400">
            <a:lnSpc>
              <a:spcPct val="90000"/>
            </a:lnSpc>
            <a:spcBef>
              <a:spcPct val="0"/>
            </a:spcBef>
            <a:spcAft>
              <a:spcPct val="35000"/>
            </a:spcAft>
          </a:pPr>
          <a:r>
            <a:rPr lang="sr-Cyrl-RS" sz="1200" kern="1200"/>
            <a:t>ЕФИ обухвата информације на дан отварања стечајног поступка на основу којих повериоци одлучују о начину спровођења стечајног поступка</a:t>
          </a:r>
          <a:endParaRPr lang="en-US" sz="1200" kern="1200"/>
        </a:p>
      </dsp:txBody>
      <dsp:txXfrm>
        <a:off x="338715" y="793567"/>
        <a:ext cx="1622789" cy="1622789"/>
      </dsp:txXfrm>
    </dsp:sp>
    <dsp:sp modelId="{F5812942-B260-4A2F-8B6A-9554F901B643}">
      <dsp:nvSpPr>
        <dsp:cNvPr id="0" name=""/>
        <dsp:cNvSpPr/>
      </dsp:nvSpPr>
      <dsp:spPr>
        <a:xfrm>
          <a:off x="1838601" y="457476"/>
          <a:ext cx="2294971" cy="2294971"/>
        </a:xfrm>
        <a:prstGeom prst="ellipse">
          <a:avLst/>
        </a:prstGeom>
        <a:solidFill>
          <a:schemeClr val="accent4">
            <a:lumMod val="60000"/>
            <a:lumOff val="4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6300" tIns="15240" rIns="126300" bIns="15240" numCol="1" spcCol="1270" anchor="ctr" anchorCtr="0">
          <a:noAutofit/>
        </a:bodyPr>
        <a:lstStyle/>
        <a:p>
          <a:pPr lvl="0" algn="ctr" defTabSz="533400">
            <a:lnSpc>
              <a:spcPct val="90000"/>
            </a:lnSpc>
            <a:spcBef>
              <a:spcPct val="0"/>
            </a:spcBef>
            <a:spcAft>
              <a:spcPct val="35000"/>
            </a:spcAft>
          </a:pPr>
          <a:r>
            <a:rPr lang="sr-Cyrl-RS" sz="1200" kern="1200"/>
            <a:t>Стечајни управник израђује извештај и одговоран је за тачност и свеобухватност унетих података</a:t>
          </a:r>
          <a:endParaRPr lang="en-US" sz="1200" kern="1200"/>
        </a:p>
      </dsp:txBody>
      <dsp:txXfrm>
        <a:off x="2174692" y="793567"/>
        <a:ext cx="1622789" cy="1622789"/>
      </dsp:txXfrm>
    </dsp:sp>
    <dsp:sp modelId="{99F6C63A-577F-473A-89B3-DE951C4C20AD}">
      <dsp:nvSpPr>
        <dsp:cNvPr id="0" name=""/>
        <dsp:cNvSpPr/>
      </dsp:nvSpPr>
      <dsp:spPr>
        <a:xfrm>
          <a:off x="3674578" y="457476"/>
          <a:ext cx="2294971" cy="2294971"/>
        </a:xfrm>
        <a:prstGeom prst="ellipse">
          <a:avLst/>
        </a:prstGeom>
        <a:solidFill>
          <a:schemeClr val="accent4">
            <a:lumMod val="20000"/>
            <a:lumOff val="80000"/>
            <a:alpha val="5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tx1"/>
        </a:fontRef>
      </dsp:style>
      <dsp:txBody>
        <a:bodyPr spcFirstLastPara="0" vert="horz" wrap="square" lIns="126300" tIns="15240" rIns="126300" bIns="15240" numCol="1" spcCol="1270" anchor="ctr" anchorCtr="0">
          <a:noAutofit/>
        </a:bodyPr>
        <a:lstStyle/>
        <a:p>
          <a:pPr lvl="0" algn="ctr" defTabSz="533400">
            <a:lnSpc>
              <a:spcPct val="90000"/>
            </a:lnSpc>
            <a:spcBef>
              <a:spcPct val="0"/>
            </a:spcBef>
            <a:spcAft>
              <a:spcPct val="35000"/>
            </a:spcAft>
          </a:pPr>
          <a:r>
            <a:rPr lang="sr-Cyrl-RS" sz="1200" kern="1200"/>
            <a:t>Стечајни управник израђује извештај на основу свих расположивих информација којима располаже у моменту израде извештаја</a:t>
          </a:r>
          <a:endParaRPr lang="en-US" sz="1200" kern="1200"/>
        </a:p>
      </dsp:txBody>
      <dsp:txXfrm>
        <a:off x="4010669" y="793567"/>
        <a:ext cx="1622789" cy="1622789"/>
      </dsp:txXfrm>
    </dsp:sp>
  </dsp:spTree>
</dsp:drawing>
</file>

<file path=word/diagrams/layout1.xml><?xml version="1.0" encoding="utf-8"?>
<dgm:layoutDef xmlns:dgm="http://schemas.openxmlformats.org/drawingml/2006/diagram" xmlns:a="http://schemas.openxmlformats.org/drawingml/2006/main" uniqueId="urn:microsoft.com/office/officeart/2005/8/layout/venn3">
  <dgm:title val=""/>
  <dgm:desc val=""/>
  <dgm:catLst>
    <dgm:cat type="relationship" pri="29000"/>
  </dgm:catLst>
  <dgm:sampData>
    <dgm:dataModel>
      <dgm:ptLst>
        <dgm:pt modelId="0" type="doc"/>
        <dgm:pt modelId="1">
          <dgm:prSet phldr="1"/>
        </dgm:pt>
        <dgm:pt modelId="2">
          <dgm:prSet phldr="1"/>
        </dgm:pt>
        <dgm:pt modelId="3">
          <dgm:prSet phldr="1"/>
        </dgm:pt>
        <dgm:pt modelId="4">
          <dgm:prSet phldr="1"/>
        </dgm:pt>
      </dgm:ptLst>
      <dgm:cxnLst>
        <dgm:cxn modelId="5" srcId="0" destId="1" srcOrd="0" destOrd="0"/>
        <dgm:cxn modelId="6" srcId="0" destId="2" srcOrd="1" destOrd="0"/>
        <dgm:cxn modelId="7" srcId="0" destId="3" srcOrd="2" destOrd="0"/>
        <dgm:cxn modelId="8" srcId="0" destId="4" srcOrd="3"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resizeHandles val="exact"/>
    </dgm:varLst>
    <dgm:choose name="Name1">
      <dgm:if name="Name2" func="var" arg="dir" op="equ" val="norm">
        <dgm:alg type="lin">
          <dgm:param type="fallback" val="2D"/>
        </dgm:alg>
      </dgm:if>
      <dgm:else name="Name3">
        <dgm:alg type="lin">
          <dgm:param type="fallback" val="2D"/>
          <dgm:param type="linDir" val="fromR"/>
        </dgm:alg>
      </dgm:else>
    </dgm:choose>
    <dgm:shape xmlns:r="http://schemas.openxmlformats.org/officeDocument/2006/relationships" r:blip="">
      <dgm:adjLst/>
    </dgm:shape>
    <dgm:presOf/>
    <dgm:constrLst>
      <dgm:constr type="w" for="ch" ptType="node" refType="w"/>
      <dgm:constr type="h" for="ch" ptType="node" refType="w" refFor="ch" refPtType="node"/>
      <dgm:constr type="w" for="ch" forName="space" refType="w" refFor="ch" refPtType="node" fact="-0.2"/>
      <dgm:constr type="primFontSz" for="ch" ptType="node" op="equ" val="65"/>
    </dgm:constrLst>
    <dgm:ruleLst/>
    <dgm:forEach name="Name4" axis="ch" ptType="node">
      <dgm:layoutNode name="Name5" styleLbl="vennNode1">
        <dgm:varLst>
          <dgm:bulletEnabled val="1"/>
        </dgm:varLst>
        <dgm:alg type="tx">
          <dgm:param type="txAnchorVertCh" val="mid"/>
          <dgm:param type="txAnchorHorzCh" val="ctr"/>
        </dgm:alg>
        <dgm:shape xmlns:r="http://schemas.openxmlformats.org/officeDocument/2006/relationships" type="ellipse" r:blip="">
          <dgm:adjLst/>
        </dgm:shape>
        <dgm:presOf axis="desOrSelf" ptType="node"/>
        <dgm:constrLst>
          <dgm:constr type="tMarg" refType="primFontSz" fact="0.1"/>
          <dgm:constr type="bMarg" refType="primFontSz" fact="0.1"/>
          <dgm:constr type="lMarg" refType="w" fact="0.156"/>
          <dgm:constr type="rMarg" refType="w" fact="0.156"/>
        </dgm:constrLst>
        <dgm:ruleLst>
          <dgm:rule type="primFontSz" val="5" fact="NaN" max="NaN"/>
        </dgm:ruleLst>
      </dgm:layoutNode>
      <dgm:forEach name="Name6" axis="followSib" ptType="sibTrans" cnt="1">
        <dgm:layoutNode name="space">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D0E8FB-E011-4AC3-9424-CEDC46A06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1767</TotalTime>
  <Pages>1</Pages>
  <Words>4645</Words>
  <Characters>26478</Characters>
  <Application>Microsoft Office Word</Application>
  <DocSecurity>0</DocSecurity>
  <Lines>220</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Jelena JT. Todic</dc:creator>
  <cp:keywords/>
  <dc:description/>
  <cp:lastModifiedBy>Jelena JT. Todic</cp:lastModifiedBy>
  <cp:revision>49</cp:revision>
  <cp:lastPrinted>2018-09-19T13:13:00Z</cp:lastPrinted>
  <dcterms:created xsi:type="dcterms:W3CDTF">2018-09-03T09:16:00Z</dcterms:created>
  <dcterms:modified xsi:type="dcterms:W3CDTF">2018-09-28T06:16:00Z</dcterms:modified>
</cp:coreProperties>
</file>