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A1" w:rsidRDefault="00E305A1" w:rsidP="00E305A1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020"/>
      </w:tblGrid>
      <w:tr w:rsidR="00E305A1" w:rsidRPr="00EA2EEF" w:rsidTr="00E20DEB">
        <w:tc>
          <w:tcPr>
            <w:tcW w:w="1908" w:type="dxa"/>
            <w:shd w:val="clear" w:color="auto" w:fill="auto"/>
          </w:tcPr>
          <w:p w:rsidR="00E305A1" w:rsidRDefault="00E305A1" w:rsidP="00CD44FC"/>
          <w:p w:rsidR="00E305A1" w:rsidRPr="00EA2EEF" w:rsidRDefault="00E305A1" w:rsidP="00CD44FC">
            <w:pPr>
              <w:rPr>
                <w:lang w:val="sr-Cyrl-CS"/>
              </w:rPr>
            </w:pPr>
            <w:r w:rsidRPr="00EA2EEF">
              <w:rPr>
                <w:lang w:val="sr-Cyrl-CS"/>
              </w:rPr>
              <w:t>Наручилац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E305A1" w:rsidRPr="00EA2EEF" w:rsidRDefault="00E305A1" w:rsidP="00CD44FC">
            <w:pPr>
              <w:rPr>
                <w:lang w:val="sr-Cyrl-CS"/>
              </w:rPr>
            </w:pPr>
            <w:r w:rsidRPr="00EA2EEF">
              <w:rPr>
                <w:lang w:val="sr-Cyrl-CS"/>
              </w:rPr>
              <w:t xml:space="preserve">Агенција за лиценцирање стечајних управника </w:t>
            </w:r>
          </w:p>
        </w:tc>
      </w:tr>
      <w:tr w:rsidR="00E305A1" w:rsidTr="00E20DEB">
        <w:tc>
          <w:tcPr>
            <w:tcW w:w="1908" w:type="dxa"/>
            <w:shd w:val="clear" w:color="auto" w:fill="auto"/>
          </w:tcPr>
          <w:p w:rsidR="00E305A1" w:rsidRPr="00EA2EEF" w:rsidRDefault="00E305A1" w:rsidP="00CD44FC">
            <w:pPr>
              <w:rPr>
                <w:lang w:val="ru-RU"/>
              </w:rPr>
            </w:pPr>
          </w:p>
          <w:p w:rsidR="00E305A1" w:rsidRPr="00EA2EEF" w:rsidRDefault="00E305A1" w:rsidP="00CD44FC">
            <w:pPr>
              <w:rPr>
                <w:lang w:val="sr-Cyrl-CS"/>
              </w:rPr>
            </w:pPr>
            <w:r w:rsidRPr="00EA2EEF">
              <w:rPr>
                <w:lang w:val="sr-Cyrl-CS"/>
              </w:rPr>
              <w:t>Адреса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E305A1" w:rsidRPr="00EA2EEF" w:rsidRDefault="00E305A1" w:rsidP="00CD44FC">
            <w:pPr>
              <w:rPr>
                <w:lang w:val="sr-Cyrl-CS"/>
              </w:rPr>
            </w:pPr>
            <w:r w:rsidRPr="00EA2EEF">
              <w:rPr>
                <w:lang w:val="sr-Cyrl-CS"/>
              </w:rPr>
              <w:t xml:space="preserve">Београд, </w:t>
            </w:r>
            <w:r w:rsidR="001A086D">
              <w:rPr>
                <w:lang w:val="sr-Cyrl-CS"/>
              </w:rPr>
              <w:t xml:space="preserve"> </w:t>
            </w:r>
            <w:r w:rsidRPr="00EA2EEF">
              <w:rPr>
                <w:lang w:val="sr-Cyrl-CS"/>
              </w:rPr>
              <w:t xml:space="preserve">Кнеза Михаила број 1-3 </w:t>
            </w:r>
          </w:p>
        </w:tc>
      </w:tr>
      <w:tr w:rsidR="00E305A1" w:rsidRPr="00EA2EEF" w:rsidTr="00E20DEB">
        <w:tc>
          <w:tcPr>
            <w:tcW w:w="1908" w:type="dxa"/>
            <w:shd w:val="clear" w:color="auto" w:fill="auto"/>
          </w:tcPr>
          <w:p w:rsidR="00E305A1" w:rsidRPr="00EA2EEF" w:rsidRDefault="00E305A1" w:rsidP="00CD44FC">
            <w:pPr>
              <w:rPr>
                <w:lang w:val="sr-Latn-CS"/>
              </w:rPr>
            </w:pPr>
          </w:p>
          <w:p w:rsidR="00E305A1" w:rsidRPr="00E20DEB" w:rsidRDefault="00E20DEB" w:rsidP="00CD44FC">
            <w:pPr>
              <w:rPr>
                <w:lang w:val="sr-Cyrl-CS"/>
              </w:rPr>
            </w:pPr>
            <w:r>
              <w:rPr>
                <w:lang w:val="sr-Cyrl-CS"/>
              </w:rPr>
              <w:t>Интернет страница Наручиоца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E305A1" w:rsidRPr="00E20DEB" w:rsidRDefault="00E20DEB" w:rsidP="00E20DEB">
            <w:pPr>
              <w:rPr>
                <w:lang w:val="sr-Latn-CS"/>
              </w:rPr>
            </w:pPr>
            <w:r>
              <w:rPr>
                <w:lang w:val="sr-Latn-CS"/>
              </w:rPr>
              <w:t>www.alsu.gov.rs</w:t>
            </w:r>
          </w:p>
        </w:tc>
      </w:tr>
      <w:tr w:rsidR="00E20DEB" w:rsidRPr="00EA2EEF" w:rsidTr="00E20DEB">
        <w:tc>
          <w:tcPr>
            <w:tcW w:w="1908" w:type="dxa"/>
            <w:shd w:val="clear" w:color="auto" w:fill="auto"/>
          </w:tcPr>
          <w:p w:rsidR="00E20DEB" w:rsidRPr="00E20DEB" w:rsidRDefault="00E20DEB" w:rsidP="00CD44FC">
            <w:pPr>
              <w:rPr>
                <w:lang w:val="sr-Cyrl-CS"/>
              </w:rPr>
            </w:pPr>
            <w:r>
              <w:rPr>
                <w:lang w:val="sr-Cyrl-CS"/>
              </w:rPr>
              <w:t>Број обавештења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E20DEB" w:rsidRPr="00E20DEB" w:rsidRDefault="00E20DEB" w:rsidP="00CD44FC">
            <w:pPr>
              <w:rPr>
                <w:lang w:val="sr-Cyrl-CS"/>
              </w:rPr>
            </w:pPr>
            <w:r w:rsidRPr="00EA2EEF">
              <w:rPr>
                <w:lang w:val="sr-Latn-CS"/>
              </w:rPr>
              <w:t>IV -14 -</w:t>
            </w:r>
            <w:r>
              <w:rPr>
                <w:lang w:val="sr-Cyrl-CS"/>
              </w:rPr>
              <w:t>1</w:t>
            </w:r>
            <w:r>
              <w:rPr>
                <w:lang w:val="sr-Latn-CS"/>
              </w:rPr>
              <w:t>8</w:t>
            </w:r>
            <w:r w:rsidRPr="00EA2EEF">
              <w:rPr>
                <w:lang w:val="sr-Latn-CS"/>
              </w:rPr>
              <w:t>/</w:t>
            </w:r>
            <w:r>
              <w:rPr>
                <w:lang w:val="sr-Latn-CS"/>
              </w:rPr>
              <w:t>1</w:t>
            </w:r>
            <w:r w:rsidRPr="00EA2EEF">
              <w:rPr>
                <w:lang w:val="sr-Latn-CS"/>
              </w:rPr>
              <w:t>/201</w:t>
            </w:r>
            <w:r>
              <w:rPr>
                <w:lang w:val="sr-Latn-CS"/>
              </w:rPr>
              <w:t>4</w:t>
            </w:r>
            <w:r>
              <w:rPr>
                <w:lang w:val="sr-Cyrl-CS"/>
              </w:rPr>
              <w:t>-</w:t>
            </w:r>
            <w:r>
              <w:rPr>
                <w:lang w:val="sr-Latn-CS"/>
              </w:rPr>
              <w:t>1</w:t>
            </w:r>
            <w:r>
              <w:rPr>
                <w:lang w:val="sr-Cyrl-CS"/>
              </w:rPr>
              <w:t>4</w:t>
            </w:r>
          </w:p>
        </w:tc>
      </w:tr>
      <w:tr w:rsidR="00E305A1" w:rsidRPr="00EA2EEF" w:rsidTr="00E20DEB">
        <w:tc>
          <w:tcPr>
            <w:tcW w:w="1908" w:type="dxa"/>
            <w:shd w:val="clear" w:color="auto" w:fill="auto"/>
          </w:tcPr>
          <w:p w:rsidR="00E305A1" w:rsidRDefault="00E305A1" w:rsidP="00CD44FC"/>
          <w:p w:rsidR="00E305A1" w:rsidRPr="00EA2EEF" w:rsidRDefault="00E305A1" w:rsidP="00CD44FC">
            <w:pPr>
              <w:rPr>
                <w:lang w:val="sr-Cyrl-CS"/>
              </w:rPr>
            </w:pPr>
            <w:r w:rsidRPr="00EA2EEF">
              <w:rPr>
                <w:lang w:val="sr-Cyrl-CS"/>
              </w:rPr>
              <w:t>Датум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E305A1" w:rsidRPr="00EA2EEF" w:rsidRDefault="00E20DEB" w:rsidP="00CD44FC">
            <w:pPr>
              <w:rPr>
                <w:lang w:val="sr-Cyrl-CS"/>
              </w:rPr>
            </w:pPr>
            <w:r>
              <w:rPr>
                <w:lang w:val="sr-Latn-CS"/>
              </w:rPr>
              <w:t>2</w:t>
            </w:r>
            <w:r>
              <w:rPr>
                <w:lang w:val="sr-Cyrl-CS"/>
              </w:rPr>
              <w:t>6</w:t>
            </w:r>
            <w:r w:rsidR="006A390C">
              <w:rPr>
                <w:lang w:val="sr-Cyrl-CS"/>
              </w:rPr>
              <w:t xml:space="preserve">. </w:t>
            </w:r>
            <w:r w:rsidR="00103ED7">
              <w:rPr>
                <w:lang w:val="sr-Cyrl-CS"/>
              </w:rPr>
              <w:t>мај</w:t>
            </w:r>
            <w:r w:rsidR="00097167">
              <w:rPr>
                <w:lang w:val="sr-Cyrl-CS"/>
              </w:rPr>
              <w:t xml:space="preserve"> 201</w:t>
            </w:r>
            <w:r w:rsidR="006A390C">
              <w:rPr>
                <w:lang w:val="sr-Cyrl-CS"/>
              </w:rPr>
              <w:t>4</w:t>
            </w:r>
            <w:r w:rsidR="00E305A1" w:rsidRPr="00EA2EEF">
              <w:rPr>
                <w:lang w:val="sr-Cyrl-CS"/>
              </w:rPr>
              <w:t>.</w:t>
            </w:r>
            <w:r w:rsidR="00CB2EC8" w:rsidRPr="00EA2EEF">
              <w:rPr>
                <w:lang w:val="sr-Cyrl-CS"/>
              </w:rPr>
              <w:t xml:space="preserve"> </w:t>
            </w:r>
            <w:r w:rsidR="00E305A1" w:rsidRPr="00EA2EEF">
              <w:rPr>
                <w:lang w:val="sr-Cyrl-CS"/>
              </w:rPr>
              <w:t xml:space="preserve">године </w:t>
            </w:r>
          </w:p>
        </w:tc>
      </w:tr>
    </w:tbl>
    <w:p w:rsidR="00E305A1" w:rsidRDefault="00E305A1" w:rsidP="00E305A1">
      <w:pPr>
        <w:rPr>
          <w:lang w:val="sr-Cyrl-CS"/>
        </w:rPr>
      </w:pPr>
    </w:p>
    <w:p w:rsidR="00160ECB" w:rsidRDefault="00160ECB" w:rsidP="00E305A1">
      <w:pPr>
        <w:jc w:val="both"/>
        <w:rPr>
          <w:lang w:val="sr-Cyrl-CS"/>
        </w:rPr>
      </w:pPr>
    </w:p>
    <w:p w:rsidR="001F2F92" w:rsidRPr="00E20DEB" w:rsidRDefault="00FB04BA" w:rsidP="00735124">
      <w:pPr>
        <w:pStyle w:val="BodyText"/>
        <w:ind w:firstLine="720"/>
        <w:rPr>
          <w:lang w:val="sr-Cyrl-CS"/>
        </w:rPr>
      </w:pPr>
      <w:r w:rsidRPr="00456ED6">
        <w:rPr>
          <w:lang w:val="ru-RU"/>
        </w:rPr>
        <w:t xml:space="preserve">На основу </w:t>
      </w:r>
      <w:r w:rsidR="00432D1F">
        <w:rPr>
          <w:lang w:val="sr-Cyrl-CS"/>
        </w:rPr>
        <w:t>члана</w:t>
      </w:r>
      <w:r w:rsidR="003E363E">
        <w:rPr>
          <w:lang w:val="sr-Cyrl-CS"/>
        </w:rPr>
        <w:t xml:space="preserve"> </w:t>
      </w:r>
      <w:r w:rsidR="00735124">
        <w:rPr>
          <w:lang w:val="sr-Cyrl-CS"/>
        </w:rPr>
        <w:t>3</w:t>
      </w:r>
      <w:r w:rsidR="00735124">
        <w:rPr>
          <w:lang w:val="sr-Latn-CS"/>
        </w:rPr>
        <w:t>6</w:t>
      </w:r>
      <w:r w:rsidR="00735124">
        <w:rPr>
          <w:lang w:val="sr-Cyrl-CS"/>
        </w:rPr>
        <w:t xml:space="preserve">. став </w:t>
      </w:r>
      <w:r w:rsidR="00735124">
        <w:rPr>
          <w:lang w:val="sr-Latn-CS"/>
        </w:rPr>
        <w:t>7</w:t>
      </w:r>
      <w:r w:rsidR="003E363E" w:rsidRPr="00531A9D">
        <w:rPr>
          <w:lang w:val="sr-Cyrl-CS"/>
        </w:rPr>
        <w:t>.</w:t>
      </w:r>
      <w:r w:rsidR="00735124">
        <w:rPr>
          <w:lang w:val="sr-Cyrl-CS"/>
        </w:rPr>
        <w:t xml:space="preserve"> </w:t>
      </w:r>
      <w:r w:rsidR="00456ED6" w:rsidRPr="00456ED6">
        <w:rPr>
          <w:lang w:val="sr-Cyrl-CS"/>
        </w:rPr>
        <w:t xml:space="preserve">Закона о јавним набавкама („Службени гласник РС“, број 124/12), </w:t>
      </w:r>
      <w:r w:rsidR="00E20DEB">
        <w:rPr>
          <w:lang w:val="ru-RU"/>
        </w:rPr>
        <w:t>Агенциј</w:t>
      </w:r>
      <w:r w:rsidR="00E20DEB">
        <w:rPr>
          <w:lang w:val="sr-Latn-CS"/>
        </w:rPr>
        <w:t>a</w:t>
      </w:r>
      <w:r w:rsidR="001F2F92" w:rsidRPr="00456ED6">
        <w:rPr>
          <w:lang w:val="ru-RU"/>
        </w:rPr>
        <w:t xml:space="preserve"> за лиценцирање стечајних управника</w:t>
      </w:r>
      <w:r w:rsidR="00B74AF9">
        <w:rPr>
          <w:lang w:val="ru-RU"/>
        </w:rPr>
        <w:t>,</w:t>
      </w:r>
      <w:r w:rsidR="001F2F92" w:rsidRPr="00456ED6">
        <w:rPr>
          <w:lang w:val="ru-RU"/>
        </w:rPr>
        <w:t xml:space="preserve">  дана</w:t>
      </w:r>
      <w:r w:rsidR="001F2F92" w:rsidRPr="00456ED6">
        <w:rPr>
          <w:lang w:val="sr-Cyrl-CS"/>
        </w:rPr>
        <w:t xml:space="preserve"> </w:t>
      </w:r>
      <w:r w:rsidR="001F2F92" w:rsidRPr="00456ED6">
        <w:rPr>
          <w:lang w:val="ru-RU"/>
        </w:rPr>
        <w:t xml:space="preserve"> </w:t>
      </w:r>
      <w:r w:rsidR="00E20DEB">
        <w:rPr>
          <w:lang w:val="sr-Cyrl-CS"/>
        </w:rPr>
        <w:t>2</w:t>
      </w:r>
      <w:r w:rsidR="00E20DEB">
        <w:rPr>
          <w:lang w:val="sr-Latn-CS"/>
        </w:rPr>
        <w:t>6</w:t>
      </w:r>
      <w:r w:rsidR="007F1D01">
        <w:rPr>
          <w:lang w:val="ru-RU"/>
        </w:rPr>
        <w:t>. маја</w:t>
      </w:r>
      <w:r w:rsidR="00097167" w:rsidRPr="00456ED6">
        <w:rPr>
          <w:lang w:val="ru-RU"/>
        </w:rPr>
        <w:t xml:space="preserve"> 201</w:t>
      </w:r>
      <w:r w:rsidR="006A390C">
        <w:rPr>
          <w:lang w:val="sr-Cyrl-CS"/>
        </w:rPr>
        <w:t>4</w:t>
      </w:r>
      <w:r w:rsidR="001F2F92" w:rsidRPr="00456ED6">
        <w:rPr>
          <w:lang w:val="sr-Cyrl-CS"/>
        </w:rPr>
        <w:t>.</w:t>
      </w:r>
      <w:r w:rsidR="00B74AF9">
        <w:rPr>
          <w:lang w:val="sr-Cyrl-CS"/>
        </w:rPr>
        <w:t xml:space="preserve"> </w:t>
      </w:r>
      <w:r w:rsidR="001F2F92" w:rsidRPr="00456ED6">
        <w:rPr>
          <w:lang w:val="sr-Cyrl-CS"/>
        </w:rPr>
        <w:t xml:space="preserve">године,  </w:t>
      </w:r>
      <w:r w:rsidR="00E20DEB">
        <w:rPr>
          <w:lang w:val="sr-Latn-CS"/>
        </w:rPr>
        <w:t>o</w:t>
      </w:r>
      <w:r w:rsidR="00E20DEB">
        <w:rPr>
          <w:lang w:val="sr-Cyrl-CS"/>
        </w:rPr>
        <w:t>бјављује</w:t>
      </w:r>
    </w:p>
    <w:p w:rsidR="001F2F92" w:rsidRPr="005633DA" w:rsidRDefault="001F2F92" w:rsidP="001F2F92">
      <w:pPr>
        <w:rPr>
          <w:lang w:val="ru-RU"/>
        </w:rPr>
      </w:pPr>
    </w:p>
    <w:p w:rsidR="00735124" w:rsidRPr="00E20DEB" w:rsidRDefault="00E20DEB" w:rsidP="00735124">
      <w:pPr>
        <w:jc w:val="center"/>
        <w:rPr>
          <w:b/>
          <w:lang w:val="sr-Cyrl-CS"/>
        </w:rPr>
      </w:pPr>
      <w:r>
        <w:rPr>
          <w:b/>
          <w:lang w:val="sr-Cyrl-CS"/>
        </w:rPr>
        <w:t>О Б А В Е Ш Т Е Њ Е</w:t>
      </w:r>
    </w:p>
    <w:p w:rsidR="00735124" w:rsidRPr="00AD35CE" w:rsidRDefault="00735124" w:rsidP="00735124">
      <w:pPr>
        <w:jc w:val="center"/>
        <w:rPr>
          <w:b/>
          <w:lang w:val="sr-Cyrl-CS"/>
        </w:rPr>
      </w:pPr>
      <w:r w:rsidRPr="00AD35CE">
        <w:rPr>
          <w:b/>
          <w:lang w:val="sr-Cyrl-CS"/>
        </w:rPr>
        <w:t>о покретању преговарачког поступка</w:t>
      </w:r>
    </w:p>
    <w:p w:rsidR="00735124" w:rsidRPr="00AD35CE" w:rsidRDefault="00E20DEB" w:rsidP="00735124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без објављивања </w:t>
      </w:r>
      <w:r w:rsidR="00735124" w:rsidRPr="00AD35CE">
        <w:rPr>
          <w:b/>
          <w:lang w:val="sr-Cyrl-CS"/>
        </w:rPr>
        <w:t>позива</w:t>
      </w:r>
      <w:r>
        <w:rPr>
          <w:b/>
          <w:lang w:val="sr-Cyrl-CS"/>
        </w:rPr>
        <w:t xml:space="preserve"> за подношење понуда</w:t>
      </w:r>
      <w:r w:rsidR="00735124" w:rsidRPr="00AD35CE">
        <w:rPr>
          <w:b/>
          <w:lang w:val="sr-Cyrl-CS"/>
        </w:rPr>
        <w:t xml:space="preserve"> </w:t>
      </w:r>
    </w:p>
    <w:p w:rsidR="00735124" w:rsidRDefault="00735124" w:rsidP="00735124">
      <w:pPr>
        <w:jc w:val="center"/>
        <w:rPr>
          <w:b/>
          <w:lang w:val="sr-Cyrl-CS"/>
        </w:rPr>
      </w:pPr>
      <w:r>
        <w:rPr>
          <w:b/>
          <w:lang w:val="sr-Cyrl-CS"/>
        </w:rPr>
        <w:t>за јавну набавку услуге одр</w:t>
      </w:r>
      <w:r w:rsidRPr="00C36533">
        <w:rPr>
          <w:b/>
          <w:lang w:val="sr-Cyrl-CS"/>
        </w:rPr>
        <w:t>ж</w:t>
      </w:r>
      <w:r>
        <w:rPr>
          <w:b/>
          <w:lang w:val="sr-Cyrl-CS"/>
        </w:rPr>
        <w:t>а</w:t>
      </w:r>
      <w:r w:rsidRPr="00C36533">
        <w:rPr>
          <w:b/>
          <w:lang w:val="sr-Cyrl-CS"/>
        </w:rPr>
        <w:t xml:space="preserve">вања рачунарског софтвера </w:t>
      </w:r>
      <w:r>
        <w:rPr>
          <w:b/>
          <w:lang w:val="sr-Cyrl-CS"/>
        </w:rPr>
        <w:t xml:space="preserve">Агенције за лиценцирање стечајних управника </w:t>
      </w:r>
    </w:p>
    <w:p w:rsidR="00735124" w:rsidRPr="00AD35CE" w:rsidRDefault="00735124" w:rsidP="00735124">
      <w:pPr>
        <w:jc w:val="center"/>
        <w:rPr>
          <w:b/>
          <w:lang w:val="ru-RU"/>
        </w:rPr>
      </w:pPr>
      <w:r>
        <w:rPr>
          <w:b/>
          <w:lang w:val="sr-Cyrl-CS"/>
        </w:rPr>
        <w:t xml:space="preserve">редни број </w:t>
      </w:r>
      <w:r w:rsidRPr="00AD35CE">
        <w:rPr>
          <w:b/>
          <w:lang w:val="ru-RU"/>
        </w:rPr>
        <w:t xml:space="preserve">ЈН-П </w:t>
      </w:r>
      <w:r>
        <w:rPr>
          <w:b/>
          <w:lang w:val="ru-RU"/>
        </w:rPr>
        <w:t xml:space="preserve"> </w:t>
      </w:r>
      <w:r>
        <w:rPr>
          <w:b/>
          <w:lang w:val="sr-Latn-CS"/>
        </w:rPr>
        <w:t>1</w:t>
      </w:r>
      <w:r>
        <w:rPr>
          <w:b/>
          <w:lang w:val="ru-RU"/>
        </w:rPr>
        <w:t>/2014</w:t>
      </w:r>
    </w:p>
    <w:p w:rsidR="00AD35CE" w:rsidRPr="00EA2EEF" w:rsidRDefault="00AD35CE" w:rsidP="00AD35CE">
      <w:pPr>
        <w:jc w:val="center"/>
        <w:rPr>
          <w:sz w:val="32"/>
          <w:szCs w:val="32"/>
          <w:lang w:val="ru-RU"/>
        </w:rPr>
      </w:pPr>
    </w:p>
    <w:p w:rsidR="00AD35CE" w:rsidRDefault="00AD35CE" w:rsidP="00103ED7">
      <w:pPr>
        <w:rPr>
          <w:lang w:val="sr-Cyrl-CS"/>
        </w:rPr>
      </w:pPr>
    </w:p>
    <w:p w:rsidR="00E305A1" w:rsidRDefault="00E20DEB" w:rsidP="00AD35CE">
      <w:pPr>
        <w:ind w:firstLine="360"/>
        <w:jc w:val="both"/>
        <w:rPr>
          <w:lang w:val="sr-Cyrl-CS"/>
        </w:rPr>
      </w:pPr>
      <w:r>
        <w:rPr>
          <w:lang w:val="sr-Cyrl-CS"/>
        </w:rPr>
        <w:t xml:space="preserve">   1</w:t>
      </w:r>
      <w:r w:rsidR="00AD35CE" w:rsidRPr="00EA2EEF">
        <w:rPr>
          <w:lang w:val="sr-Cyrl-CS"/>
        </w:rPr>
        <w:t>.  Р</w:t>
      </w:r>
      <w:r w:rsidR="00E305A1" w:rsidRPr="00EA2EEF">
        <w:rPr>
          <w:lang w:val="sr-Cyrl-CS"/>
        </w:rPr>
        <w:t>едни број</w:t>
      </w:r>
      <w:r w:rsidR="00E305A1">
        <w:rPr>
          <w:lang w:val="sr-Cyrl-CS"/>
        </w:rPr>
        <w:t xml:space="preserve"> </w:t>
      </w:r>
      <w:r w:rsidR="00735124">
        <w:rPr>
          <w:lang w:val="sr-Cyrl-CS"/>
        </w:rPr>
        <w:t xml:space="preserve"> јавне набавке је ЈН- </w:t>
      </w:r>
      <w:r w:rsidR="00103ED7">
        <w:rPr>
          <w:lang w:val="sr-Cyrl-CS"/>
        </w:rPr>
        <w:t xml:space="preserve">П </w:t>
      </w:r>
      <w:r w:rsidR="0002628E">
        <w:rPr>
          <w:lang w:val="sr-Cyrl-CS"/>
        </w:rPr>
        <w:t xml:space="preserve"> </w:t>
      </w:r>
      <w:r w:rsidR="00735124">
        <w:rPr>
          <w:lang w:val="sr-Cyrl-CS"/>
        </w:rPr>
        <w:t>1</w:t>
      </w:r>
      <w:r w:rsidR="00AD35CE">
        <w:rPr>
          <w:lang w:val="sr-Cyrl-CS"/>
        </w:rPr>
        <w:t>/201</w:t>
      </w:r>
      <w:r w:rsidR="006A390C">
        <w:rPr>
          <w:lang w:val="sr-Cyrl-CS"/>
        </w:rPr>
        <w:t>4</w:t>
      </w:r>
      <w:r w:rsidR="00AD35CE">
        <w:rPr>
          <w:lang w:val="sr-Cyrl-CS"/>
        </w:rPr>
        <w:t xml:space="preserve">. </w:t>
      </w:r>
    </w:p>
    <w:p w:rsidR="00AD35CE" w:rsidRDefault="00AD35CE" w:rsidP="00AD35CE">
      <w:pPr>
        <w:ind w:firstLine="360"/>
        <w:jc w:val="both"/>
        <w:rPr>
          <w:lang w:val="sr-Cyrl-CS"/>
        </w:rPr>
      </w:pPr>
    </w:p>
    <w:p w:rsidR="00E305A1" w:rsidRPr="00EA2EEF" w:rsidRDefault="00E20DEB" w:rsidP="00AD35CE">
      <w:pPr>
        <w:ind w:firstLine="360"/>
        <w:jc w:val="both"/>
        <w:rPr>
          <w:sz w:val="32"/>
          <w:szCs w:val="32"/>
          <w:lang w:val="sr-Cyrl-CS"/>
        </w:rPr>
      </w:pPr>
      <w:r>
        <w:rPr>
          <w:lang w:val="sr-Cyrl-CS"/>
        </w:rPr>
        <w:t xml:space="preserve">   2</w:t>
      </w:r>
      <w:r w:rsidR="00AD35CE" w:rsidRPr="00EA2EEF">
        <w:rPr>
          <w:lang w:val="sr-Cyrl-CS"/>
        </w:rPr>
        <w:t>.  По</w:t>
      </w:r>
      <w:r w:rsidR="00E305A1" w:rsidRPr="00EA2EEF">
        <w:rPr>
          <w:lang w:val="sr-Cyrl-CS"/>
        </w:rPr>
        <w:t>даци о јавној набавци:</w:t>
      </w:r>
    </w:p>
    <w:p w:rsidR="00E305A1" w:rsidRPr="00104274" w:rsidRDefault="00E305A1" w:rsidP="00E305A1">
      <w:pPr>
        <w:jc w:val="both"/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4"/>
        <w:gridCol w:w="4056"/>
      </w:tblGrid>
      <w:tr w:rsidR="00E305A1" w:rsidRPr="00EA2EEF" w:rsidTr="00B0281C">
        <w:tc>
          <w:tcPr>
            <w:tcW w:w="4764" w:type="dxa"/>
            <w:shd w:val="clear" w:color="auto" w:fill="auto"/>
          </w:tcPr>
          <w:p w:rsidR="00E305A1" w:rsidRPr="00EA2EEF" w:rsidRDefault="00E305A1" w:rsidP="00CD44FC"/>
          <w:p w:rsidR="00E305A1" w:rsidRPr="00EA2EEF" w:rsidRDefault="00E305A1" w:rsidP="00CD44FC">
            <w:r w:rsidRPr="00EA2EEF">
              <w:rPr>
                <w:lang w:val="sr-Cyrl-CS"/>
              </w:rPr>
              <w:t>Предмет јавне набавке</w:t>
            </w:r>
            <w:r w:rsidR="004D1C9D">
              <w:rPr>
                <w:lang w:val="sr-Cyrl-CS"/>
              </w:rPr>
              <w:t>, назив и ознака из општег речника набавке</w:t>
            </w:r>
          </w:p>
        </w:tc>
        <w:tc>
          <w:tcPr>
            <w:tcW w:w="4056" w:type="dxa"/>
            <w:shd w:val="clear" w:color="auto" w:fill="auto"/>
            <w:vAlign w:val="bottom"/>
          </w:tcPr>
          <w:p w:rsidR="004D1C9D" w:rsidRPr="00103ED7" w:rsidRDefault="00103ED7" w:rsidP="00FF6F61">
            <w:pPr>
              <w:jc w:val="both"/>
              <w:rPr>
                <w:lang w:val="sr-Cyrl-CS"/>
              </w:rPr>
            </w:pPr>
            <w:r w:rsidRPr="00103ED7">
              <w:rPr>
                <w:lang w:val="sr-Cyrl-CS"/>
              </w:rPr>
              <w:t>Услуга одржавања  рачу</w:t>
            </w:r>
            <w:r w:rsidR="00735124">
              <w:rPr>
                <w:lang w:val="sr-Cyrl-CS"/>
              </w:rPr>
              <w:t>нарског софтвера АЛСУ</w:t>
            </w:r>
          </w:p>
          <w:p w:rsidR="00103ED7" w:rsidRPr="00103ED7" w:rsidRDefault="00103ED7" w:rsidP="00FF6F61">
            <w:pPr>
              <w:jc w:val="both"/>
              <w:rPr>
                <w:lang w:val="sr-Cyrl-CS"/>
              </w:rPr>
            </w:pPr>
          </w:p>
          <w:p w:rsidR="00103ED7" w:rsidRPr="00BE2C36" w:rsidRDefault="00103ED7" w:rsidP="00103ED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2C36">
              <w:rPr>
                <w:rFonts w:ascii="Times New Roman" w:hAnsi="Times New Roman"/>
                <w:sz w:val="24"/>
                <w:szCs w:val="24"/>
                <w:lang w:val="ru-RU"/>
              </w:rPr>
              <w:t>Одржавање софтвера за информационе технологије - 72267100</w:t>
            </w:r>
          </w:p>
        </w:tc>
      </w:tr>
      <w:tr w:rsidR="00AC7F25" w:rsidRPr="00EA2EEF" w:rsidTr="00B0281C">
        <w:tc>
          <w:tcPr>
            <w:tcW w:w="4764" w:type="dxa"/>
            <w:shd w:val="clear" w:color="auto" w:fill="auto"/>
          </w:tcPr>
          <w:p w:rsidR="00AC7F25" w:rsidRPr="00EA2EEF" w:rsidRDefault="00AC7F25" w:rsidP="00CD44FC">
            <w:pPr>
              <w:rPr>
                <w:lang w:val="sr-Cyrl-CS"/>
              </w:rPr>
            </w:pPr>
            <w:r w:rsidRPr="00EA2EEF">
              <w:rPr>
                <w:lang w:val="sr-Cyrl-CS"/>
              </w:rPr>
              <w:t xml:space="preserve">Врста поступка јавне набавке </w:t>
            </w:r>
          </w:p>
        </w:tc>
        <w:tc>
          <w:tcPr>
            <w:tcW w:w="4056" w:type="dxa"/>
            <w:shd w:val="clear" w:color="auto" w:fill="auto"/>
            <w:vAlign w:val="bottom"/>
          </w:tcPr>
          <w:p w:rsidR="00AC7F25" w:rsidRPr="00EA2EEF" w:rsidRDefault="00735124" w:rsidP="00EA2EE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Преговарачки </w:t>
            </w:r>
            <w:r w:rsidR="00103ED7">
              <w:rPr>
                <w:lang w:val="sr-Cyrl-CS"/>
              </w:rPr>
              <w:t>поступак</w:t>
            </w:r>
            <w:r w:rsidR="00E20DEB">
              <w:rPr>
                <w:lang w:val="sr-Cyrl-CS"/>
              </w:rPr>
              <w:t xml:space="preserve"> без објављивања </w:t>
            </w:r>
            <w:r>
              <w:rPr>
                <w:lang w:val="sr-Cyrl-CS"/>
              </w:rPr>
              <w:t>позива</w:t>
            </w:r>
            <w:r w:rsidR="00103ED7">
              <w:rPr>
                <w:lang w:val="sr-Cyrl-CS"/>
              </w:rPr>
              <w:t xml:space="preserve"> </w:t>
            </w:r>
            <w:r w:rsidR="00E20DEB">
              <w:rPr>
                <w:lang w:val="sr-Cyrl-CS"/>
              </w:rPr>
              <w:t>за подношење понуда</w:t>
            </w:r>
          </w:p>
        </w:tc>
      </w:tr>
    </w:tbl>
    <w:p w:rsidR="00E305A1" w:rsidRDefault="00E305A1" w:rsidP="00E305A1">
      <w:pPr>
        <w:jc w:val="both"/>
        <w:rPr>
          <w:b/>
          <w:lang w:val="sr-Cyrl-CS"/>
        </w:rPr>
      </w:pPr>
    </w:p>
    <w:p w:rsidR="00E20DEB" w:rsidRDefault="00E20DEB" w:rsidP="00E305A1">
      <w:pPr>
        <w:jc w:val="both"/>
        <w:rPr>
          <w:b/>
          <w:lang w:val="sr-Cyrl-CS"/>
        </w:rPr>
      </w:pPr>
    </w:p>
    <w:p w:rsidR="00E20DEB" w:rsidRDefault="00E20DEB" w:rsidP="00E305A1">
      <w:pPr>
        <w:jc w:val="both"/>
        <w:rPr>
          <w:b/>
          <w:lang w:val="sr-Cyrl-CS"/>
        </w:rPr>
      </w:pPr>
    </w:p>
    <w:p w:rsidR="00E20DEB" w:rsidRDefault="00E20DEB" w:rsidP="00E305A1">
      <w:pPr>
        <w:jc w:val="both"/>
        <w:rPr>
          <w:b/>
          <w:lang w:val="sr-Cyrl-CS"/>
        </w:rPr>
      </w:pPr>
    </w:p>
    <w:p w:rsidR="00E20DEB" w:rsidRDefault="00E20DEB" w:rsidP="00E305A1">
      <w:pPr>
        <w:jc w:val="both"/>
        <w:rPr>
          <w:b/>
          <w:lang w:val="sr-Cyrl-CS"/>
        </w:rPr>
      </w:pPr>
    </w:p>
    <w:p w:rsidR="00735124" w:rsidRDefault="00735124" w:rsidP="00735124">
      <w:pPr>
        <w:jc w:val="both"/>
        <w:rPr>
          <w:lang w:val="sr-Cyrl-CS"/>
        </w:rPr>
      </w:pPr>
    </w:p>
    <w:p w:rsidR="00735124" w:rsidRDefault="00735124" w:rsidP="00735124">
      <w:pPr>
        <w:jc w:val="both"/>
        <w:rPr>
          <w:lang w:val="sr-Cyrl-CS"/>
        </w:rPr>
      </w:pPr>
    </w:p>
    <w:p w:rsidR="00735124" w:rsidRPr="0088520E" w:rsidRDefault="00E20DEB" w:rsidP="00E20DEB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 xml:space="preserve">Основ </w:t>
      </w:r>
      <w:r w:rsidR="00735124" w:rsidRPr="0088520E">
        <w:rPr>
          <w:lang w:val="sr-Cyrl-CS"/>
        </w:rPr>
        <w:t>за примену преговарачког поступка:</w:t>
      </w:r>
    </w:p>
    <w:p w:rsidR="00735124" w:rsidRPr="00EA2EEF" w:rsidRDefault="00735124" w:rsidP="00735124">
      <w:pPr>
        <w:ind w:left="720"/>
        <w:jc w:val="both"/>
        <w:rPr>
          <w:lang w:val="sr-Cyrl-CS"/>
        </w:rPr>
      </w:pPr>
    </w:p>
    <w:p w:rsidR="00735124" w:rsidRDefault="00E20DEB" w:rsidP="00735124">
      <w:pPr>
        <w:ind w:firstLine="720"/>
        <w:jc w:val="both"/>
        <w:rPr>
          <w:lang w:val="sr-Cyrl-CS"/>
        </w:rPr>
      </w:pPr>
      <w:r>
        <w:rPr>
          <w:lang w:val="sr-Cyrl-CS"/>
        </w:rPr>
        <w:t>Ч</w:t>
      </w:r>
      <w:r w:rsidR="00735124">
        <w:rPr>
          <w:lang w:val="sr-Cyrl-CS"/>
        </w:rPr>
        <w:t>ланом 36. став 1. тачка 2</w:t>
      </w:r>
      <w:r w:rsidR="00735124" w:rsidRPr="00847C22">
        <w:rPr>
          <w:lang w:val="sr-Cyrl-CS"/>
        </w:rPr>
        <w:t xml:space="preserve">. Закона предвиђено је да наручилац може спроводити преговарачки </w:t>
      </w:r>
      <w:r w:rsidR="00735124">
        <w:rPr>
          <w:lang w:val="sr-Cyrl-CS"/>
        </w:rPr>
        <w:t xml:space="preserve">поступак без објављивања </w:t>
      </w:r>
      <w:r w:rsidR="00735124" w:rsidRPr="00847C22">
        <w:rPr>
          <w:lang w:val="sr-Cyrl-CS"/>
        </w:rPr>
        <w:t xml:space="preserve">позива </w:t>
      </w:r>
      <w:r w:rsidR="00735124">
        <w:rPr>
          <w:lang w:val="sr-Cyrl-CS"/>
        </w:rPr>
        <w:t xml:space="preserve">за подношење понуда </w:t>
      </w:r>
      <w:r w:rsidR="00735124" w:rsidRPr="00847C22">
        <w:rPr>
          <w:lang w:val="sr-Cyrl-CS"/>
        </w:rPr>
        <w:t xml:space="preserve">ако због техничких, односно уметничких разлога предмета јавне набавке или из разлога повезаних са заштитом искључивих права, набавку може испунити само одређени понуђач. </w:t>
      </w:r>
    </w:p>
    <w:p w:rsidR="00E20DEB" w:rsidRDefault="00E20DEB" w:rsidP="00735124">
      <w:pPr>
        <w:ind w:firstLine="720"/>
        <w:jc w:val="both"/>
        <w:rPr>
          <w:lang w:val="sr-Cyrl-CS"/>
        </w:rPr>
      </w:pPr>
    </w:p>
    <w:p w:rsidR="006B79D1" w:rsidRDefault="006B79D1" w:rsidP="006B79D1">
      <w:pPr>
        <w:ind w:firstLine="567"/>
        <w:jc w:val="both"/>
        <w:rPr>
          <w:lang w:val="sr-Cyrl-CS"/>
        </w:rPr>
      </w:pPr>
      <w:r>
        <w:rPr>
          <w:lang w:val="sr-Cyrl-CS"/>
        </w:rPr>
        <w:t xml:space="preserve">Позив за подношење понуде упућује се фирми </w:t>
      </w:r>
      <w:r w:rsidRPr="006B79D1">
        <w:rPr>
          <w:b/>
          <w:lang w:val="sr-Cyrl-CS"/>
        </w:rPr>
        <w:t>„БЕЛИТ</w:t>
      </w:r>
      <w:r>
        <w:rPr>
          <w:lang w:val="sr-Cyrl-CS"/>
        </w:rPr>
        <w:t>“ доо, Београд, Обилићев венац 18-20.</w:t>
      </w:r>
    </w:p>
    <w:p w:rsidR="00E20DEB" w:rsidRPr="00847C22" w:rsidRDefault="00E20DEB" w:rsidP="006B79D1">
      <w:pPr>
        <w:ind w:firstLine="567"/>
        <w:jc w:val="both"/>
        <w:rPr>
          <w:lang w:val="sr-Cyrl-CS"/>
        </w:rPr>
      </w:pPr>
    </w:p>
    <w:p w:rsidR="00735124" w:rsidRPr="00847C22" w:rsidRDefault="00735124" w:rsidP="006B79D1">
      <w:pPr>
        <w:ind w:firstLine="567"/>
        <w:jc w:val="both"/>
        <w:rPr>
          <w:lang w:val="sr-Cyrl-CS"/>
        </w:rPr>
      </w:pPr>
      <w:r w:rsidRPr="00847C22">
        <w:rPr>
          <w:lang w:val="sr-Cyrl-CS"/>
        </w:rPr>
        <w:t>Разлози за примену преговарачког</w:t>
      </w:r>
      <w:r w:rsidR="00E20DEB">
        <w:rPr>
          <w:lang w:val="sr-Cyrl-CS"/>
        </w:rPr>
        <w:t xml:space="preserve"> поступка без објављивања </w:t>
      </w:r>
      <w:r w:rsidRPr="00847C22">
        <w:rPr>
          <w:lang w:val="sr-Cyrl-CS"/>
        </w:rPr>
        <w:t>позива</w:t>
      </w:r>
      <w:r>
        <w:rPr>
          <w:lang w:val="sr-Cyrl-CS"/>
        </w:rPr>
        <w:t xml:space="preserve"> </w:t>
      </w:r>
      <w:r w:rsidR="00E20DEB">
        <w:rPr>
          <w:lang w:val="sr-Cyrl-CS"/>
        </w:rPr>
        <w:t xml:space="preserve">за подношење понуда </w:t>
      </w:r>
      <w:r>
        <w:rPr>
          <w:lang w:val="sr-Cyrl-CS"/>
        </w:rPr>
        <w:t>на основу члана 36</w:t>
      </w:r>
      <w:r w:rsidRPr="00847C22">
        <w:rPr>
          <w:lang w:val="sr-Cyrl-CS"/>
        </w:rPr>
        <w:t>. став 1. тачка</w:t>
      </w:r>
      <w:r>
        <w:rPr>
          <w:lang w:val="sr-Cyrl-CS"/>
        </w:rPr>
        <w:t xml:space="preserve">  2</w:t>
      </w:r>
      <w:r w:rsidRPr="00847C22">
        <w:rPr>
          <w:lang w:val="sr-Cyrl-CS"/>
        </w:rPr>
        <w:t xml:space="preserve">) Закона о јавним набавкама </w:t>
      </w:r>
      <w:r w:rsidR="006B79D1">
        <w:rPr>
          <w:lang w:val="sr-Cyrl-CS"/>
        </w:rPr>
        <w:t xml:space="preserve">и упућивања позива наведеној фирми </w:t>
      </w:r>
      <w:r w:rsidRPr="00847C22">
        <w:rPr>
          <w:lang w:val="sr-Cyrl-CS"/>
        </w:rPr>
        <w:t xml:space="preserve">су следећи:  </w:t>
      </w:r>
    </w:p>
    <w:p w:rsidR="00735124" w:rsidRPr="00847C22" w:rsidRDefault="00735124" w:rsidP="00735124">
      <w:pPr>
        <w:ind w:firstLine="720"/>
        <w:jc w:val="both"/>
        <w:rPr>
          <w:lang w:val="sr-Cyrl-CS"/>
        </w:rPr>
      </w:pPr>
      <w:r w:rsidRPr="00790B50">
        <w:rPr>
          <w:lang w:val="sr-Cyrl-CS"/>
        </w:rPr>
        <w:t>Софтверска кућа „Белит“ д.о.о. из Београда је аутор рачунарског софтвера Агенције за лиценцирање стечајних управника</w:t>
      </w:r>
      <w:r>
        <w:rPr>
          <w:lang w:val="sr-Cyrl-CS"/>
        </w:rPr>
        <w:t xml:space="preserve"> (дока</w:t>
      </w:r>
      <w:r w:rsidR="006B79D1">
        <w:rPr>
          <w:lang w:val="sr-Cyrl-CS"/>
        </w:rPr>
        <w:t>з: Потврда Завода за интелектуалну својину 990 број 2014/20136 А-57/2014/1 од 7.5.2014. године о уношењу у евиденцију и депоновању ауторских дела и предмета сродних права фирме „Белит“ доо као носиоца ауторских права на „Информационом Систему АЛСУ“)</w:t>
      </w:r>
      <w:r>
        <w:rPr>
          <w:lang w:val="sr-Cyrl-CS"/>
        </w:rPr>
        <w:t xml:space="preserve">. У конкретном случају ради се о </w:t>
      </w:r>
      <w:r w:rsidRPr="00790B50">
        <w:rPr>
          <w:lang w:val="sr-Cyrl-CS"/>
        </w:rPr>
        <w:t xml:space="preserve">врло сложеном софтверском систему са комплексним техничким захтевима </w:t>
      </w:r>
      <w:r>
        <w:rPr>
          <w:lang w:val="sr-Cyrl-CS"/>
        </w:rPr>
        <w:t>чије одржавање захтева  добро познавање</w:t>
      </w:r>
      <w:r w:rsidRPr="00790B50">
        <w:rPr>
          <w:lang w:val="sr-Cyrl-CS"/>
        </w:rPr>
        <w:t xml:space="preserve"> стечајне проблематике.</w:t>
      </w:r>
      <w:r w:rsidRPr="00790B50">
        <w:rPr>
          <w:lang w:val="sr-Latn-CS"/>
        </w:rPr>
        <w:t xml:space="preserve"> </w:t>
      </w:r>
      <w:r w:rsidRPr="00790B50">
        <w:rPr>
          <w:lang w:val="sr-Cyrl-CS"/>
        </w:rPr>
        <w:t>Систем се састоји из више модула који покривају сваки организациони део Агенције (деловодник, стручни испити, досијеи стечајних управника, именик стечајних управника, финансијски део стечајних поступака</w:t>
      </w:r>
      <w:r>
        <w:rPr>
          <w:lang w:val="sr-Cyrl-CS"/>
        </w:rPr>
        <w:t>,</w:t>
      </w:r>
      <w:r w:rsidRPr="00790B50">
        <w:rPr>
          <w:lang w:val="sr-Cyrl-CS"/>
        </w:rPr>
        <w:t xml:space="preserve"> као и статистички подаци о стечајним поступцима) и он аутоматизује кључне пословне процесе Агенције за лиценцирање стечајних управник</w:t>
      </w:r>
      <w:r>
        <w:rPr>
          <w:lang w:val="sr-Cyrl-CS"/>
        </w:rPr>
        <w:t xml:space="preserve">а у извршавању законом поверених послова. </w:t>
      </w:r>
      <w:r w:rsidRPr="00790B50">
        <w:rPr>
          <w:lang w:val="sr-Cyrl-CS"/>
        </w:rPr>
        <w:t>Ангажовање неке друге софтверске куће за одржавање овог софтвера, а не аутора система, услед непознавања унутрашње логике и архитектуре система,</w:t>
      </w:r>
      <w:r>
        <w:rPr>
          <w:lang w:val="sr-Cyrl-CS"/>
        </w:rPr>
        <w:t xml:space="preserve"> </w:t>
      </w:r>
      <w:r w:rsidRPr="00790B50">
        <w:rPr>
          <w:lang w:val="sr-Cyrl-CS"/>
        </w:rPr>
        <w:t xml:space="preserve">као и свих осталих аспеката вођења стечајног поступка, може довести до тога да би </w:t>
      </w:r>
      <w:r>
        <w:rPr>
          <w:lang w:val="sr-Cyrl-CS"/>
        </w:rPr>
        <w:t xml:space="preserve">имплементација </w:t>
      </w:r>
      <w:r w:rsidRPr="00790B50">
        <w:rPr>
          <w:lang w:val="sr-Cyrl-CS"/>
        </w:rPr>
        <w:t>трајала вишеструко дуже, решења вероватно не би била уклопљена на прави начин у постојећи систем и могла би довести до додатних грешака у систему, чија оправка би касније била јако скупа или немогућа уколико дође до трајног губитка неке од информација базе.</w:t>
      </w:r>
      <w:r w:rsidRPr="00847C22">
        <w:rPr>
          <w:lang w:val="sr-Cyrl-CS"/>
        </w:rPr>
        <w:t xml:space="preserve"> </w:t>
      </w:r>
    </w:p>
    <w:p w:rsidR="00735124" w:rsidRPr="00847C22" w:rsidRDefault="00735124" w:rsidP="00735124">
      <w:pPr>
        <w:ind w:firstLine="720"/>
        <w:jc w:val="both"/>
        <w:rPr>
          <w:lang w:val="sr-Cyrl-CS"/>
        </w:rPr>
      </w:pPr>
      <w:r>
        <w:rPr>
          <w:lang w:val="sr-Cyrl-CS"/>
        </w:rPr>
        <w:t>Због свега наведеног,</w:t>
      </w:r>
      <w:r w:rsidRPr="00847C22">
        <w:rPr>
          <w:lang w:val="sr-Cyrl-CS"/>
        </w:rPr>
        <w:t xml:space="preserve"> </w:t>
      </w:r>
      <w:r>
        <w:rPr>
          <w:lang w:val="sr-Cyrl-CS"/>
        </w:rPr>
        <w:t xml:space="preserve">а на основу </w:t>
      </w:r>
      <w:r w:rsidR="006B79D1">
        <w:rPr>
          <w:lang w:val="sr-Cyrl-CS"/>
        </w:rPr>
        <w:t xml:space="preserve">позитивног </w:t>
      </w:r>
      <w:r>
        <w:rPr>
          <w:lang w:val="sr-Cyrl-CS"/>
        </w:rPr>
        <w:t xml:space="preserve">мишљења Управе за јавне набавке број </w:t>
      </w:r>
      <w:r w:rsidR="006B79D1">
        <w:rPr>
          <w:lang w:val="sr-Cyrl-CS"/>
        </w:rPr>
        <w:t>404-02-1558/14 од 15.</w:t>
      </w:r>
      <w:r w:rsidR="006B79D1">
        <w:rPr>
          <w:lang w:val="sr-Latn-CS"/>
        </w:rPr>
        <w:t xml:space="preserve"> </w:t>
      </w:r>
      <w:r w:rsidR="006B79D1">
        <w:rPr>
          <w:lang w:val="sr-Cyrl-CS"/>
        </w:rPr>
        <w:t xml:space="preserve">маја 2014. </w:t>
      </w:r>
      <w:r w:rsidR="00E20DEB">
        <w:rPr>
          <w:lang w:val="sr-Cyrl-CS"/>
        </w:rPr>
        <w:t>г</w:t>
      </w:r>
      <w:r w:rsidR="006B79D1">
        <w:rPr>
          <w:lang w:val="sr-Cyrl-CS"/>
        </w:rPr>
        <w:t>одине</w:t>
      </w:r>
      <w:r w:rsidR="00E20DEB">
        <w:rPr>
          <w:lang w:val="sr-Cyrl-CS"/>
        </w:rPr>
        <w:t xml:space="preserve"> Агенција је </w:t>
      </w:r>
      <w:r w:rsidR="006B79D1" w:rsidRPr="00847C22">
        <w:rPr>
          <w:lang w:val="sr-Cyrl-CS"/>
        </w:rPr>
        <w:t xml:space="preserve"> </w:t>
      </w:r>
      <w:r w:rsidR="00E20DEB">
        <w:rPr>
          <w:lang w:val="sr-Cyrl-CS"/>
        </w:rPr>
        <w:t>донела</w:t>
      </w:r>
      <w:r w:rsidRPr="00847C22">
        <w:rPr>
          <w:lang w:val="sr-Cyrl-CS"/>
        </w:rPr>
        <w:t xml:space="preserve"> одлук</w:t>
      </w:r>
      <w:r w:rsidR="00E20DEB">
        <w:rPr>
          <w:lang w:val="sr-Cyrl-CS"/>
        </w:rPr>
        <w:t>у</w:t>
      </w:r>
      <w:r w:rsidRPr="00847C22">
        <w:rPr>
          <w:lang w:val="sr-Cyrl-CS"/>
        </w:rPr>
        <w:t xml:space="preserve"> о покретању поступка за набавку </w:t>
      </w:r>
      <w:r>
        <w:rPr>
          <w:lang w:val="sr-Cyrl-CS"/>
        </w:rPr>
        <w:t xml:space="preserve">одржавања рачунарског софтвера АЛСУ у </w:t>
      </w:r>
      <w:r w:rsidRPr="00847C22">
        <w:rPr>
          <w:lang w:val="sr-Cyrl-CS"/>
        </w:rPr>
        <w:t xml:space="preserve">преговарачком </w:t>
      </w:r>
      <w:r w:rsidR="00E20DEB">
        <w:rPr>
          <w:lang w:val="sr-Cyrl-CS"/>
        </w:rPr>
        <w:t xml:space="preserve">поступку без објављивања </w:t>
      </w:r>
      <w:r w:rsidRPr="00847C22">
        <w:rPr>
          <w:lang w:val="sr-Cyrl-CS"/>
        </w:rPr>
        <w:t>позива</w:t>
      </w:r>
      <w:r w:rsidR="00E20DEB">
        <w:rPr>
          <w:lang w:val="sr-Cyrl-CS"/>
        </w:rPr>
        <w:t xml:space="preserve"> за подношење понуда</w:t>
      </w:r>
      <w:r w:rsidRPr="00847C22">
        <w:rPr>
          <w:lang w:val="sr-Cyrl-CS"/>
        </w:rPr>
        <w:t xml:space="preserve">. </w:t>
      </w:r>
    </w:p>
    <w:p w:rsidR="00735124" w:rsidRPr="00847C22" w:rsidRDefault="00735124" w:rsidP="006B79D1">
      <w:pPr>
        <w:jc w:val="both"/>
        <w:rPr>
          <w:lang w:val="sr-Cyrl-CS"/>
        </w:rPr>
      </w:pPr>
    </w:p>
    <w:p w:rsidR="008204AF" w:rsidRDefault="008204AF" w:rsidP="004C4AAD">
      <w:pPr>
        <w:tabs>
          <w:tab w:val="center" w:pos="4500"/>
        </w:tabs>
        <w:jc w:val="both"/>
        <w:rPr>
          <w:b/>
          <w:lang w:val="sr-Cyrl-CS"/>
        </w:rPr>
      </w:pPr>
    </w:p>
    <w:p w:rsidR="008204AF" w:rsidRDefault="008204AF" w:rsidP="00EA2EEF">
      <w:pPr>
        <w:tabs>
          <w:tab w:val="center" w:pos="4500"/>
        </w:tabs>
        <w:jc w:val="both"/>
        <w:rPr>
          <w:b/>
          <w:lang w:val="sr-Cyrl-CS"/>
        </w:rPr>
      </w:pPr>
    </w:p>
    <w:p w:rsidR="00ED3CFE" w:rsidRDefault="00ED3CFE">
      <w:pPr>
        <w:rPr>
          <w:lang w:val="sr-Cyrl-CS"/>
        </w:rPr>
      </w:pPr>
    </w:p>
    <w:p w:rsidR="00CD4E7B" w:rsidRDefault="00CD4E7B">
      <w:pPr>
        <w:rPr>
          <w:lang w:val="sr-Cyrl-CS"/>
        </w:rPr>
      </w:pPr>
    </w:p>
    <w:p w:rsidR="00CD4E7B" w:rsidRPr="00CD4E7B" w:rsidRDefault="00CD4E7B" w:rsidP="00CD4E7B">
      <w:pPr>
        <w:rPr>
          <w:lang w:val="sr-Cyrl-CS"/>
        </w:rPr>
      </w:pPr>
    </w:p>
    <w:p w:rsidR="00CD4E7B" w:rsidRPr="00CD4E7B" w:rsidRDefault="00CD4E7B" w:rsidP="00CD4E7B">
      <w:pPr>
        <w:rPr>
          <w:lang w:val="sr-Cyrl-CS"/>
        </w:rPr>
      </w:pPr>
    </w:p>
    <w:p w:rsidR="00CD4E7B" w:rsidRDefault="00CD4E7B" w:rsidP="00CD4E7B">
      <w:pPr>
        <w:rPr>
          <w:lang w:val="sr-Cyrl-CS"/>
        </w:rPr>
      </w:pPr>
    </w:p>
    <w:p w:rsidR="00CD4E7B" w:rsidRDefault="00CD4E7B" w:rsidP="00CD4E7B">
      <w:pPr>
        <w:rPr>
          <w:lang w:val="sr-Latn-CS"/>
        </w:rPr>
      </w:pPr>
    </w:p>
    <w:sectPr w:rsidR="00CD4E7B">
      <w:footerReference w:type="default" r:id="rId8"/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22E" w:rsidRDefault="008E622E" w:rsidP="00EA2EEF">
      <w:r>
        <w:separator/>
      </w:r>
    </w:p>
  </w:endnote>
  <w:endnote w:type="continuationSeparator" w:id="0">
    <w:p w:rsidR="008E622E" w:rsidRDefault="008E622E" w:rsidP="00EA2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EEF" w:rsidRDefault="00EA2EEF">
    <w:pPr>
      <w:pStyle w:val="Footer"/>
      <w:jc w:val="center"/>
    </w:pPr>
    <w:fldSimple w:instr=" PAGE   \* MERGEFORMAT ">
      <w:r w:rsidR="003B7E48">
        <w:rPr>
          <w:noProof/>
        </w:rPr>
        <w:t>1</w:t>
      </w:r>
    </w:fldSimple>
  </w:p>
  <w:p w:rsidR="00EA2EEF" w:rsidRDefault="00EA2E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22E" w:rsidRDefault="008E622E" w:rsidP="00EA2EEF">
      <w:r>
        <w:separator/>
      </w:r>
    </w:p>
  </w:footnote>
  <w:footnote w:type="continuationSeparator" w:id="0">
    <w:p w:rsidR="008E622E" w:rsidRDefault="008E622E" w:rsidP="00EA2E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97B36"/>
    <w:multiLevelType w:val="hybridMultilevel"/>
    <w:tmpl w:val="43DEE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F045F"/>
    <w:multiLevelType w:val="hybridMultilevel"/>
    <w:tmpl w:val="E17618B4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4E00CF"/>
    <w:multiLevelType w:val="hybridMultilevel"/>
    <w:tmpl w:val="3C40CCC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B765B1"/>
    <w:multiLevelType w:val="hybridMultilevel"/>
    <w:tmpl w:val="699055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5A1"/>
    <w:rsid w:val="00005C7B"/>
    <w:rsid w:val="00010EA0"/>
    <w:rsid w:val="0002628E"/>
    <w:rsid w:val="000467A5"/>
    <w:rsid w:val="00097167"/>
    <w:rsid w:val="000977A3"/>
    <w:rsid w:val="000A4CE3"/>
    <w:rsid w:val="000A6399"/>
    <w:rsid w:val="00100F23"/>
    <w:rsid w:val="00101820"/>
    <w:rsid w:val="00103AF7"/>
    <w:rsid w:val="00103ED7"/>
    <w:rsid w:val="00105D43"/>
    <w:rsid w:val="00160ECB"/>
    <w:rsid w:val="001A086D"/>
    <w:rsid w:val="001C76C2"/>
    <w:rsid w:val="001E1323"/>
    <w:rsid w:val="001F2F92"/>
    <w:rsid w:val="00266E46"/>
    <w:rsid w:val="00277AAD"/>
    <w:rsid w:val="002A0699"/>
    <w:rsid w:val="002E0EBA"/>
    <w:rsid w:val="002E43AA"/>
    <w:rsid w:val="002E553A"/>
    <w:rsid w:val="003679B0"/>
    <w:rsid w:val="003752ED"/>
    <w:rsid w:val="003B248C"/>
    <w:rsid w:val="003B7E48"/>
    <w:rsid w:val="003E363E"/>
    <w:rsid w:val="003E5FCB"/>
    <w:rsid w:val="00416C12"/>
    <w:rsid w:val="00420DB9"/>
    <w:rsid w:val="00432D1F"/>
    <w:rsid w:val="004538D4"/>
    <w:rsid w:val="00456ED6"/>
    <w:rsid w:val="0045792D"/>
    <w:rsid w:val="004662E6"/>
    <w:rsid w:val="004947E9"/>
    <w:rsid w:val="004C19EF"/>
    <w:rsid w:val="004C4AAD"/>
    <w:rsid w:val="004D0E69"/>
    <w:rsid w:val="004D1C9D"/>
    <w:rsid w:val="004D6773"/>
    <w:rsid w:val="004F1043"/>
    <w:rsid w:val="00531A9D"/>
    <w:rsid w:val="0056259C"/>
    <w:rsid w:val="00563419"/>
    <w:rsid w:val="005A1680"/>
    <w:rsid w:val="005B333D"/>
    <w:rsid w:val="005E7A6F"/>
    <w:rsid w:val="006273F0"/>
    <w:rsid w:val="00645EBE"/>
    <w:rsid w:val="00650AAE"/>
    <w:rsid w:val="006602DE"/>
    <w:rsid w:val="00662C54"/>
    <w:rsid w:val="006A390C"/>
    <w:rsid w:val="006B042A"/>
    <w:rsid w:val="006B79D1"/>
    <w:rsid w:val="006F3AE8"/>
    <w:rsid w:val="00707C19"/>
    <w:rsid w:val="00735124"/>
    <w:rsid w:val="00745AD0"/>
    <w:rsid w:val="007472A3"/>
    <w:rsid w:val="00763AE1"/>
    <w:rsid w:val="007A6622"/>
    <w:rsid w:val="007D54E3"/>
    <w:rsid w:val="007F1D01"/>
    <w:rsid w:val="008204AF"/>
    <w:rsid w:val="00832560"/>
    <w:rsid w:val="008C3312"/>
    <w:rsid w:val="008E622E"/>
    <w:rsid w:val="00971F40"/>
    <w:rsid w:val="009815AD"/>
    <w:rsid w:val="00991CF3"/>
    <w:rsid w:val="009B358C"/>
    <w:rsid w:val="009D2E58"/>
    <w:rsid w:val="009D4F68"/>
    <w:rsid w:val="00A14C5E"/>
    <w:rsid w:val="00A200C5"/>
    <w:rsid w:val="00A20C36"/>
    <w:rsid w:val="00A3412A"/>
    <w:rsid w:val="00A843E5"/>
    <w:rsid w:val="00A844CE"/>
    <w:rsid w:val="00A91BB6"/>
    <w:rsid w:val="00AC7F25"/>
    <w:rsid w:val="00AD35CE"/>
    <w:rsid w:val="00B0281C"/>
    <w:rsid w:val="00B11520"/>
    <w:rsid w:val="00B13B59"/>
    <w:rsid w:val="00B74AF9"/>
    <w:rsid w:val="00B821EB"/>
    <w:rsid w:val="00BB4C75"/>
    <w:rsid w:val="00BC2C5B"/>
    <w:rsid w:val="00BD50F8"/>
    <w:rsid w:val="00BE2C36"/>
    <w:rsid w:val="00CB2EC8"/>
    <w:rsid w:val="00CD44FC"/>
    <w:rsid w:val="00CD4E7B"/>
    <w:rsid w:val="00DD386F"/>
    <w:rsid w:val="00DD6C6E"/>
    <w:rsid w:val="00DF4448"/>
    <w:rsid w:val="00E20DEB"/>
    <w:rsid w:val="00E305A1"/>
    <w:rsid w:val="00E44767"/>
    <w:rsid w:val="00E46B80"/>
    <w:rsid w:val="00E505CA"/>
    <w:rsid w:val="00E77521"/>
    <w:rsid w:val="00E90AE2"/>
    <w:rsid w:val="00EA2EEF"/>
    <w:rsid w:val="00EA3FD0"/>
    <w:rsid w:val="00EC77B5"/>
    <w:rsid w:val="00ED3CFE"/>
    <w:rsid w:val="00F13B04"/>
    <w:rsid w:val="00F245C9"/>
    <w:rsid w:val="00F26731"/>
    <w:rsid w:val="00F85EDB"/>
    <w:rsid w:val="00FA4739"/>
    <w:rsid w:val="00FB04BA"/>
    <w:rsid w:val="00FF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05A1"/>
    <w:rPr>
      <w:sz w:val="24"/>
      <w:szCs w:val="24"/>
    </w:rPr>
  </w:style>
  <w:style w:type="paragraph" w:styleId="Heading1">
    <w:name w:val="heading 1"/>
    <w:basedOn w:val="Normal"/>
    <w:next w:val="Normal"/>
    <w:qFormat/>
    <w:rsid w:val="001F2F92"/>
    <w:pPr>
      <w:keepNext/>
      <w:jc w:val="center"/>
      <w:outlineLvl w:val="0"/>
    </w:pPr>
    <w:rPr>
      <w:b/>
      <w:szCs w:val="20"/>
      <w:lang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0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1F2F92"/>
    <w:pPr>
      <w:jc w:val="both"/>
    </w:pPr>
    <w:rPr>
      <w:szCs w:val="20"/>
      <w:lang w:eastAsia="sr-Latn-CS"/>
    </w:rPr>
  </w:style>
  <w:style w:type="paragraph" w:styleId="Header">
    <w:name w:val="header"/>
    <w:basedOn w:val="Normal"/>
    <w:link w:val="HeaderChar"/>
    <w:rsid w:val="00EA2E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A2EE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A2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EE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03E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28EE8-6F0C-4879-8A29-8AF469A0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</vt:lpstr>
    </vt:vector>
  </TitlesOfParts>
  <Company>UZZPRO/ERC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silvi</dc:creator>
  <cp:keywords/>
  <dc:description/>
  <cp:lastModifiedBy>meekey</cp:lastModifiedBy>
  <cp:revision>2</cp:revision>
  <cp:lastPrinted>2014-05-23T13:40:00Z</cp:lastPrinted>
  <dcterms:created xsi:type="dcterms:W3CDTF">2014-05-26T11:44:00Z</dcterms:created>
  <dcterms:modified xsi:type="dcterms:W3CDTF">2014-05-26T11:44:00Z</dcterms:modified>
</cp:coreProperties>
</file>